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86DBF" w14:textId="77777777" w:rsidR="00607C2D" w:rsidRPr="003525E3" w:rsidRDefault="000E32A6" w:rsidP="003525E3">
      <w:pPr>
        <w:tabs>
          <w:tab w:val="left" w:pos="2127"/>
        </w:tabs>
        <w:ind w:right="6286"/>
        <w:jc w:val="center"/>
        <w:rPr>
          <w:rFonts w:ascii="Arial" w:hAnsi="Arial"/>
          <w:sz w:val="18"/>
          <w:szCs w:val="18"/>
        </w:rPr>
      </w:pPr>
      <w:r w:rsidRPr="000E32A6">
        <w:rPr>
          <w:rFonts w:ascii="Arial" w:hAnsi="Arial"/>
          <w:noProof/>
          <w:sz w:val="18"/>
          <w:szCs w:val="18"/>
          <w:lang w:val="es-ES" w:eastAsia="es-ES"/>
        </w:rPr>
        <mc:AlternateContent>
          <mc:Choice Requires="wps">
            <w:drawing>
              <wp:anchor distT="0" distB="0" distL="114300" distR="114300" simplePos="0" relativeHeight="251660288" behindDoc="0" locked="0" layoutInCell="1" allowOverlap="1" wp14:anchorId="35CFFEF8" wp14:editId="077549A3">
                <wp:simplePos x="0" y="0"/>
                <wp:positionH relativeFrom="column">
                  <wp:posOffset>-342900</wp:posOffset>
                </wp:positionH>
                <wp:positionV relativeFrom="paragraph">
                  <wp:posOffset>-228600</wp:posOffset>
                </wp:positionV>
                <wp:extent cx="5943600" cy="1828800"/>
                <wp:effectExtent l="0" t="0" r="0" b="0"/>
                <wp:wrapSquare wrapText="bothSides"/>
                <wp:docPr id="5" name="Cuadro de texto 5"/>
                <wp:cNvGraphicFramePr/>
                <a:graphic xmlns:a="http://schemas.openxmlformats.org/drawingml/2006/main">
                  <a:graphicData uri="http://schemas.microsoft.com/office/word/2010/wordprocessingShape">
                    <wps:wsp>
                      <wps:cNvSpPr txBox="1"/>
                      <wps:spPr>
                        <a:xfrm>
                          <a:off x="0" y="0"/>
                          <a:ext cx="59436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aconcuadrcula"/>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0"/>
                              <w:gridCol w:w="2704"/>
                              <w:gridCol w:w="2551"/>
                            </w:tblGrid>
                            <w:tr w:rsidR="00DE5570" w14:paraId="4ABA841C" w14:textId="77777777" w:rsidTr="003525E3">
                              <w:trPr>
                                <w:trHeight w:val="1744"/>
                              </w:trPr>
                              <w:tc>
                                <w:tcPr>
                                  <w:tcW w:w="4060" w:type="dxa"/>
                                </w:tcPr>
                                <w:p w14:paraId="0AF3E1B1" w14:textId="77777777" w:rsidR="00DE5570" w:rsidRDefault="00DE5570" w:rsidP="003525E3">
                                  <w:pPr>
                                    <w:jc w:val="center"/>
                                    <w:rPr>
                                      <w:rFonts w:ascii="Calibri" w:hAnsi="Calibri"/>
                                      <w:noProof/>
                                      <w:lang w:val="es-ES" w:eastAsia="es-ES"/>
                                    </w:rPr>
                                  </w:pPr>
                                  <w:r w:rsidRPr="000E32A6">
                                    <w:rPr>
                                      <w:rFonts w:ascii="Calibri" w:hAnsi="Calibri"/>
                                      <w:noProof/>
                                      <w:lang w:val="es-ES" w:eastAsia="es-ES"/>
                                    </w:rPr>
                                    <w:drawing>
                                      <wp:inline distT="0" distB="0" distL="0" distR="0" wp14:anchorId="4830FBE1" wp14:editId="1A3BC321">
                                        <wp:extent cx="1330765" cy="1150180"/>
                                        <wp:effectExtent l="0" t="0" r="0" b="0"/>
                                        <wp:docPr id="3" name="Imagen 3" descr="Mac HD:Pablo:Documents:Logo Imagen:logodt.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 HD:Pablo:Documents:Logo Imagen:logodt.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0765" cy="1150180"/>
                                                </a:xfrm>
                                                <a:prstGeom prst="rect">
                                                  <a:avLst/>
                                                </a:prstGeom>
                                                <a:noFill/>
                                                <a:ln>
                                                  <a:noFill/>
                                                </a:ln>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9"/>
                                  </w:tblGrid>
                                  <w:tr w:rsidR="00DE5570" w14:paraId="4ED834B7" w14:textId="77777777" w:rsidTr="003525E3">
                                    <w:tc>
                                      <w:tcPr>
                                        <w:tcW w:w="3829" w:type="dxa"/>
                                      </w:tcPr>
                                      <w:p w14:paraId="4925EBE9" w14:textId="77777777" w:rsidR="00DE5570" w:rsidRPr="003525E3" w:rsidRDefault="00DE5570" w:rsidP="00EC7903">
                                        <w:pPr>
                                          <w:jc w:val="center"/>
                                          <w:rPr>
                                            <w:rFonts w:ascii="Arial" w:hAnsi="Arial" w:cs="Arial"/>
                                            <w:b/>
                                            <w:sz w:val="22"/>
                                            <w:szCs w:val="22"/>
                                          </w:rPr>
                                        </w:pPr>
                                        <w:r>
                                          <w:rPr>
                                            <w:rFonts w:ascii="Arial" w:hAnsi="Arial" w:cs="Arial"/>
                                            <w:b/>
                                            <w:sz w:val="22"/>
                                            <w:szCs w:val="22"/>
                                          </w:rPr>
                                          <w:t>S/K (2317) 2015</w:t>
                                        </w:r>
                                      </w:p>
                                    </w:tc>
                                  </w:tr>
                                  <w:tr w:rsidR="00DE5570" w14:paraId="48821816" w14:textId="77777777" w:rsidTr="003525E3">
                                    <w:tc>
                                      <w:tcPr>
                                        <w:tcW w:w="3829" w:type="dxa"/>
                                      </w:tcPr>
                                      <w:p w14:paraId="576B3FF9" w14:textId="77777777" w:rsidR="00DE5570" w:rsidRPr="003525E3" w:rsidRDefault="00DE5570" w:rsidP="003525E3">
                                        <w:pPr>
                                          <w:jc w:val="center"/>
                                          <w:rPr>
                                            <w:rFonts w:ascii="Arial" w:hAnsi="Arial" w:cs="Arial"/>
                                            <w:b/>
                                            <w:sz w:val="20"/>
                                            <w:szCs w:val="20"/>
                                          </w:rPr>
                                        </w:pPr>
                                        <w:r w:rsidRPr="003525E3">
                                          <w:rPr>
                                            <w:rFonts w:ascii="Arial" w:hAnsi="Arial" w:cs="Arial"/>
                                            <w:b/>
                                            <w:sz w:val="20"/>
                                            <w:szCs w:val="20"/>
                                          </w:rPr>
                                          <w:t>DEPARTAMENTO JURÍDICO</w:t>
                                        </w:r>
                                      </w:p>
                                    </w:tc>
                                  </w:tr>
                                  <w:tr w:rsidR="00DE5570" w14:paraId="3711A9CD" w14:textId="77777777" w:rsidTr="003525E3">
                                    <w:tc>
                                      <w:tcPr>
                                        <w:tcW w:w="3829" w:type="dxa"/>
                                      </w:tcPr>
                                      <w:p w14:paraId="41E2DBA9" w14:textId="77777777" w:rsidR="00DE5570" w:rsidRPr="003525E3" w:rsidRDefault="00DE5570" w:rsidP="003525E3">
                                        <w:pPr>
                                          <w:jc w:val="center"/>
                                          <w:rPr>
                                            <w:rFonts w:ascii="Arial" w:hAnsi="Arial" w:cs="Arial"/>
                                            <w:b/>
                                            <w:sz w:val="20"/>
                                            <w:szCs w:val="20"/>
                                          </w:rPr>
                                        </w:pPr>
                                        <w:r w:rsidRPr="003525E3">
                                          <w:rPr>
                                            <w:rFonts w:ascii="Arial" w:hAnsi="Arial" w:cs="Arial"/>
                                            <w:b/>
                                            <w:sz w:val="20"/>
                                            <w:szCs w:val="20"/>
                                          </w:rPr>
                                          <w:t>UNIDAD DE DICTÁMENES E INFORMES EN DERECHO</w:t>
                                        </w:r>
                                      </w:p>
                                    </w:tc>
                                  </w:tr>
                                </w:tbl>
                                <w:p w14:paraId="3BABFB49" w14:textId="77777777" w:rsidR="00DE5570" w:rsidRPr="003525E3" w:rsidRDefault="00DE5570" w:rsidP="003525E3">
                                  <w:pPr>
                                    <w:tabs>
                                      <w:tab w:val="left" w:pos="2127"/>
                                    </w:tabs>
                                    <w:ind w:right="5103"/>
                                    <w:jc w:val="center"/>
                                    <w:rPr>
                                      <w:rFonts w:ascii="Arial" w:hAnsi="Arial"/>
                                      <w:sz w:val="18"/>
                                      <w:szCs w:val="18"/>
                                    </w:rPr>
                                  </w:pPr>
                                </w:p>
                              </w:tc>
                              <w:tc>
                                <w:tcPr>
                                  <w:tcW w:w="2704" w:type="dxa"/>
                                </w:tcPr>
                                <w:p w14:paraId="4FD3E2E1" w14:textId="77777777" w:rsidR="00DE5570" w:rsidRDefault="00DE5570" w:rsidP="000E32A6">
                                  <w:pPr>
                                    <w:jc w:val="right"/>
                                    <w:rPr>
                                      <w:rFonts w:ascii="Calibri" w:hAnsi="Calibri"/>
                                      <w:noProof/>
                                      <w:lang w:val="es-ES" w:eastAsia="es-ES"/>
                                    </w:rPr>
                                  </w:pPr>
                                </w:p>
                              </w:tc>
                              <w:tc>
                                <w:tcPr>
                                  <w:tcW w:w="2551" w:type="dxa"/>
                                  <w:tcBorders>
                                    <w:left w:val="nil"/>
                                  </w:tcBorders>
                                </w:tcPr>
                                <w:p w14:paraId="0EB3B6E5" w14:textId="77777777" w:rsidR="00DE5570" w:rsidRDefault="00DE5570" w:rsidP="000E32A6">
                                  <w:pPr>
                                    <w:jc w:val="right"/>
                                    <w:rPr>
                                      <w:rFonts w:ascii="Calibri" w:hAnsi="Calibri"/>
                                      <w:noProof/>
                                      <w:lang w:val="es-ES" w:eastAsia="es-ES"/>
                                    </w:rPr>
                                  </w:pPr>
                                </w:p>
                                <w:p w14:paraId="1F7C2AE9" w14:textId="77777777" w:rsidR="00DE5570" w:rsidRDefault="00DE5570" w:rsidP="000E32A6">
                                  <w:pPr>
                                    <w:jc w:val="right"/>
                                    <w:rPr>
                                      <w:rFonts w:ascii="Calibri" w:hAnsi="Calibri"/>
                                      <w:noProof/>
                                      <w:lang w:val="es-ES" w:eastAsia="es-ES"/>
                                    </w:rPr>
                                  </w:pPr>
                                </w:p>
                                <w:p w14:paraId="7986FD90" w14:textId="77777777" w:rsidR="00DE5570" w:rsidRDefault="00DE5570" w:rsidP="000E32A6">
                                  <w:pPr>
                                    <w:jc w:val="right"/>
                                    <w:rPr>
                                      <w:rFonts w:ascii="Calibri" w:hAnsi="Calibri"/>
                                      <w:noProof/>
                                      <w:lang w:val="es-ES" w:eastAsia="es-ES"/>
                                    </w:rPr>
                                  </w:pPr>
                                  <w:r>
                                    <w:rPr>
                                      <w:rFonts w:ascii="Calibri" w:hAnsi="Calibri"/>
                                      <w:noProof/>
                                      <w:lang w:val="es-ES" w:eastAsia="es-ES"/>
                                    </w:rPr>
                                    <w:drawing>
                                      <wp:inline distT="0" distB="0" distL="0" distR="0" wp14:anchorId="01B97B0B" wp14:editId="43B2155C">
                                        <wp:extent cx="1144905" cy="663423"/>
                                        <wp:effectExtent l="0" t="0" r="0" b="0"/>
                                        <wp:docPr id="4" name="Imagen 4" descr="Mac HD:Pablo:Documents:Logo Imagen:9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Pablo:Documents:Logo Imagen:90-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5341" cy="663676"/>
                                                </a:xfrm>
                                                <a:prstGeom prst="rect">
                                                  <a:avLst/>
                                                </a:prstGeom>
                                                <a:noFill/>
                                                <a:ln>
                                                  <a:noFill/>
                                                </a:ln>
                                              </pic:spPr>
                                            </pic:pic>
                                          </a:graphicData>
                                        </a:graphic>
                                      </wp:inline>
                                    </w:drawing>
                                  </w:r>
                                </w:p>
                              </w:tc>
                            </w:tr>
                          </w:tbl>
                          <w:p w14:paraId="706AF751" w14:textId="77777777" w:rsidR="00DE5570" w:rsidRDefault="00DE5570" w:rsidP="000E32A6">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5" o:spid="_x0000_s1026" type="#_x0000_t202" style="position:absolute;left:0;text-align:left;margin-left:-26.95pt;margin-top:-17.95pt;width:468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gtv9QCAAAW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" filled="f" stroked="f">
                <v:textbox>
                  <w:txbxContent>
                    <w:tbl>
                      <w:tblPr>
                        <w:tblStyle w:val="Tablaconcuadrcula"/>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0"/>
                        <w:gridCol w:w="2704"/>
                        <w:gridCol w:w="2551"/>
                      </w:tblGrid>
                      <w:tr w:rsidR="00DE5570" w14:paraId="4ABA841C" w14:textId="77777777" w:rsidTr="003525E3">
                        <w:trPr>
                          <w:trHeight w:val="1744"/>
                        </w:trPr>
                        <w:tc>
                          <w:tcPr>
                            <w:tcW w:w="4060" w:type="dxa"/>
                          </w:tcPr>
                          <w:p w14:paraId="0AF3E1B1" w14:textId="77777777" w:rsidR="00DE5570" w:rsidRDefault="00DE5570" w:rsidP="003525E3">
                            <w:pPr>
                              <w:jc w:val="center"/>
                              <w:rPr>
                                <w:rFonts w:ascii="Calibri" w:hAnsi="Calibri"/>
                                <w:noProof/>
                                <w:lang w:val="es-ES" w:eastAsia="es-ES"/>
                              </w:rPr>
                            </w:pPr>
                            <w:r w:rsidRPr="000E32A6">
                              <w:rPr>
                                <w:rFonts w:ascii="Calibri" w:hAnsi="Calibri"/>
                                <w:noProof/>
                                <w:lang w:val="es-ES" w:eastAsia="es-ES"/>
                              </w:rPr>
                              <w:drawing>
                                <wp:inline distT="0" distB="0" distL="0" distR="0" wp14:anchorId="4830FBE1" wp14:editId="1A3BC321">
                                  <wp:extent cx="1330765" cy="1150180"/>
                                  <wp:effectExtent l="0" t="0" r="0" b="0"/>
                                  <wp:docPr id="3" name="Imagen 3" descr="Mac HD:Pablo:Documents:Logo Imagen:logodt.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 HD:Pablo:Documents:Logo Imagen:logodt.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0765" cy="1150180"/>
                                          </a:xfrm>
                                          <a:prstGeom prst="rect">
                                            <a:avLst/>
                                          </a:prstGeom>
                                          <a:noFill/>
                                          <a:ln>
                                            <a:noFill/>
                                          </a:ln>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9"/>
                            </w:tblGrid>
                            <w:tr w:rsidR="00DE5570" w14:paraId="4ED834B7" w14:textId="77777777" w:rsidTr="003525E3">
                              <w:tc>
                                <w:tcPr>
                                  <w:tcW w:w="3829" w:type="dxa"/>
                                </w:tcPr>
                                <w:p w14:paraId="4925EBE9" w14:textId="77777777" w:rsidR="00DE5570" w:rsidRPr="003525E3" w:rsidRDefault="00DE5570" w:rsidP="00EC7903">
                                  <w:pPr>
                                    <w:jc w:val="center"/>
                                    <w:rPr>
                                      <w:rFonts w:ascii="Arial" w:hAnsi="Arial" w:cs="Arial"/>
                                      <w:b/>
                                      <w:sz w:val="22"/>
                                      <w:szCs w:val="22"/>
                                    </w:rPr>
                                  </w:pPr>
                                  <w:r>
                                    <w:rPr>
                                      <w:rFonts w:ascii="Arial" w:hAnsi="Arial" w:cs="Arial"/>
                                      <w:b/>
                                      <w:sz w:val="22"/>
                                      <w:szCs w:val="22"/>
                                    </w:rPr>
                                    <w:t>S/K (2317) 2015</w:t>
                                  </w:r>
                                </w:p>
                              </w:tc>
                            </w:tr>
                            <w:tr w:rsidR="00DE5570" w14:paraId="48821816" w14:textId="77777777" w:rsidTr="003525E3">
                              <w:tc>
                                <w:tcPr>
                                  <w:tcW w:w="3829" w:type="dxa"/>
                                </w:tcPr>
                                <w:p w14:paraId="576B3FF9" w14:textId="77777777" w:rsidR="00DE5570" w:rsidRPr="003525E3" w:rsidRDefault="00DE5570" w:rsidP="003525E3">
                                  <w:pPr>
                                    <w:jc w:val="center"/>
                                    <w:rPr>
                                      <w:rFonts w:ascii="Arial" w:hAnsi="Arial" w:cs="Arial"/>
                                      <w:b/>
                                      <w:sz w:val="20"/>
                                      <w:szCs w:val="20"/>
                                    </w:rPr>
                                  </w:pPr>
                                  <w:r w:rsidRPr="003525E3">
                                    <w:rPr>
                                      <w:rFonts w:ascii="Arial" w:hAnsi="Arial" w:cs="Arial"/>
                                      <w:b/>
                                      <w:sz w:val="20"/>
                                      <w:szCs w:val="20"/>
                                    </w:rPr>
                                    <w:t>DEPARTAMENTO JURÍDICO</w:t>
                                  </w:r>
                                </w:p>
                              </w:tc>
                            </w:tr>
                            <w:tr w:rsidR="00DE5570" w14:paraId="3711A9CD" w14:textId="77777777" w:rsidTr="003525E3">
                              <w:tc>
                                <w:tcPr>
                                  <w:tcW w:w="3829" w:type="dxa"/>
                                </w:tcPr>
                                <w:p w14:paraId="41E2DBA9" w14:textId="77777777" w:rsidR="00DE5570" w:rsidRPr="003525E3" w:rsidRDefault="00DE5570" w:rsidP="003525E3">
                                  <w:pPr>
                                    <w:jc w:val="center"/>
                                    <w:rPr>
                                      <w:rFonts w:ascii="Arial" w:hAnsi="Arial" w:cs="Arial"/>
                                      <w:b/>
                                      <w:sz w:val="20"/>
                                      <w:szCs w:val="20"/>
                                    </w:rPr>
                                  </w:pPr>
                                  <w:r w:rsidRPr="003525E3">
                                    <w:rPr>
                                      <w:rFonts w:ascii="Arial" w:hAnsi="Arial" w:cs="Arial"/>
                                      <w:b/>
                                      <w:sz w:val="20"/>
                                      <w:szCs w:val="20"/>
                                    </w:rPr>
                                    <w:t>UNIDAD DE DICTÁMENES E INFORMES EN DERECHO</w:t>
                                  </w:r>
                                </w:p>
                              </w:tc>
                            </w:tr>
                          </w:tbl>
                          <w:p w14:paraId="3BABFB49" w14:textId="77777777" w:rsidR="00DE5570" w:rsidRPr="003525E3" w:rsidRDefault="00DE5570" w:rsidP="003525E3">
                            <w:pPr>
                              <w:tabs>
                                <w:tab w:val="left" w:pos="2127"/>
                              </w:tabs>
                              <w:ind w:right="5103"/>
                              <w:jc w:val="center"/>
                              <w:rPr>
                                <w:rFonts w:ascii="Arial" w:hAnsi="Arial"/>
                                <w:sz w:val="18"/>
                                <w:szCs w:val="18"/>
                              </w:rPr>
                            </w:pPr>
                          </w:p>
                        </w:tc>
                        <w:tc>
                          <w:tcPr>
                            <w:tcW w:w="2704" w:type="dxa"/>
                          </w:tcPr>
                          <w:p w14:paraId="4FD3E2E1" w14:textId="77777777" w:rsidR="00DE5570" w:rsidRDefault="00DE5570" w:rsidP="000E32A6">
                            <w:pPr>
                              <w:jc w:val="right"/>
                              <w:rPr>
                                <w:rFonts w:ascii="Calibri" w:hAnsi="Calibri"/>
                                <w:noProof/>
                                <w:lang w:val="es-ES" w:eastAsia="es-ES"/>
                              </w:rPr>
                            </w:pPr>
                          </w:p>
                        </w:tc>
                        <w:tc>
                          <w:tcPr>
                            <w:tcW w:w="2551" w:type="dxa"/>
                            <w:tcBorders>
                              <w:left w:val="nil"/>
                            </w:tcBorders>
                          </w:tcPr>
                          <w:p w14:paraId="0EB3B6E5" w14:textId="77777777" w:rsidR="00DE5570" w:rsidRDefault="00DE5570" w:rsidP="000E32A6">
                            <w:pPr>
                              <w:jc w:val="right"/>
                              <w:rPr>
                                <w:rFonts w:ascii="Calibri" w:hAnsi="Calibri"/>
                                <w:noProof/>
                                <w:lang w:val="es-ES" w:eastAsia="es-ES"/>
                              </w:rPr>
                            </w:pPr>
                          </w:p>
                          <w:p w14:paraId="1F7C2AE9" w14:textId="77777777" w:rsidR="00DE5570" w:rsidRDefault="00DE5570" w:rsidP="000E32A6">
                            <w:pPr>
                              <w:jc w:val="right"/>
                              <w:rPr>
                                <w:rFonts w:ascii="Calibri" w:hAnsi="Calibri"/>
                                <w:noProof/>
                                <w:lang w:val="es-ES" w:eastAsia="es-ES"/>
                              </w:rPr>
                            </w:pPr>
                          </w:p>
                          <w:p w14:paraId="7986FD90" w14:textId="77777777" w:rsidR="00DE5570" w:rsidRDefault="00DE5570" w:rsidP="000E32A6">
                            <w:pPr>
                              <w:jc w:val="right"/>
                              <w:rPr>
                                <w:rFonts w:ascii="Calibri" w:hAnsi="Calibri"/>
                                <w:noProof/>
                                <w:lang w:val="es-ES" w:eastAsia="es-ES"/>
                              </w:rPr>
                            </w:pPr>
                            <w:r>
                              <w:rPr>
                                <w:rFonts w:ascii="Calibri" w:hAnsi="Calibri"/>
                                <w:noProof/>
                                <w:lang w:val="es-ES" w:eastAsia="es-ES"/>
                              </w:rPr>
                              <w:drawing>
                                <wp:inline distT="0" distB="0" distL="0" distR="0" wp14:anchorId="01B97B0B" wp14:editId="43B2155C">
                                  <wp:extent cx="1144905" cy="663423"/>
                                  <wp:effectExtent l="0" t="0" r="0" b="0"/>
                                  <wp:docPr id="4" name="Imagen 4" descr="Mac HD:Pablo:Documents:Logo Imagen:9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Pablo:Documents:Logo Imagen:90-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5341" cy="663676"/>
                                          </a:xfrm>
                                          <a:prstGeom prst="rect">
                                            <a:avLst/>
                                          </a:prstGeom>
                                          <a:noFill/>
                                          <a:ln>
                                            <a:noFill/>
                                          </a:ln>
                                        </pic:spPr>
                                      </pic:pic>
                                    </a:graphicData>
                                  </a:graphic>
                                </wp:inline>
                              </w:drawing>
                            </w:r>
                          </w:p>
                        </w:tc>
                      </w:tr>
                    </w:tbl>
                    <w:p w14:paraId="706AF751" w14:textId="77777777" w:rsidR="00DE5570" w:rsidRDefault="00DE5570" w:rsidP="000E32A6">
                      <w:pPr>
                        <w:jc w:val="right"/>
                      </w:pPr>
                    </w:p>
                  </w:txbxContent>
                </v:textbox>
                <w10:wrap type="square"/>
              </v:shape>
            </w:pict>
          </mc:Fallback>
        </mc:AlternateContent>
      </w:r>
    </w:p>
    <w:p w14:paraId="2FBBA89D" w14:textId="7072FCA4" w:rsidR="00F8353B" w:rsidRPr="00DE5570" w:rsidRDefault="00B92134" w:rsidP="00DE5570">
      <w:pPr>
        <w:ind w:left="4820" w:hanging="1134"/>
        <w:jc w:val="both"/>
        <w:rPr>
          <w:rFonts w:ascii="Arial" w:hAnsi="Arial" w:cs="Arial"/>
          <w:sz w:val="22"/>
          <w:szCs w:val="22"/>
        </w:rPr>
      </w:pPr>
      <w:r w:rsidRPr="000E32A6">
        <w:rPr>
          <w:rFonts w:ascii="Arial" w:hAnsi="Arial" w:cs="Arial"/>
          <w:b/>
          <w:sz w:val="22"/>
          <w:szCs w:val="22"/>
        </w:rPr>
        <w:t>ORD.:</w:t>
      </w:r>
      <w:r w:rsidR="00D25B0A">
        <w:rPr>
          <w:rFonts w:ascii="Arial" w:hAnsi="Arial" w:cs="Arial"/>
          <w:sz w:val="22"/>
          <w:szCs w:val="22"/>
        </w:rPr>
        <w:tab/>
        <w:t>Nº 4779</w:t>
      </w:r>
    </w:p>
    <w:p w14:paraId="56FAB43D" w14:textId="77777777" w:rsidR="00DE5570" w:rsidRDefault="00DE5570" w:rsidP="00DE5570">
      <w:pPr>
        <w:ind w:left="4820" w:hanging="1134"/>
        <w:jc w:val="both"/>
        <w:rPr>
          <w:rFonts w:ascii="Arial" w:hAnsi="Arial" w:cs="Arial"/>
          <w:b/>
          <w:sz w:val="22"/>
          <w:szCs w:val="22"/>
        </w:rPr>
      </w:pPr>
    </w:p>
    <w:p w14:paraId="06532790" w14:textId="542C2156" w:rsidR="00DE5570" w:rsidRPr="00DE5570" w:rsidRDefault="00B92134" w:rsidP="00DE5570">
      <w:pPr>
        <w:ind w:left="4820" w:hanging="1134"/>
        <w:jc w:val="both"/>
        <w:rPr>
          <w:rFonts w:ascii="Arial" w:hAnsi="Arial" w:cs="Arial"/>
          <w:sz w:val="22"/>
          <w:szCs w:val="22"/>
        </w:rPr>
      </w:pPr>
      <w:r w:rsidRPr="000E32A6">
        <w:rPr>
          <w:rFonts w:ascii="Arial" w:hAnsi="Arial" w:cs="Arial"/>
          <w:b/>
          <w:sz w:val="22"/>
          <w:szCs w:val="22"/>
        </w:rPr>
        <w:t xml:space="preserve">MAT.: </w:t>
      </w:r>
      <w:r w:rsidRPr="000E32A6">
        <w:rPr>
          <w:rFonts w:ascii="Arial" w:hAnsi="Arial" w:cs="Arial"/>
          <w:sz w:val="22"/>
          <w:szCs w:val="22"/>
        </w:rPr>
        <w:tab/>
      </w:r>
      <w:r w:rsidR="004840ED">
        <w:rPr>
          <w:rFonts w:ascii="Arial" w:hAnsi="Arial" w:cs="Arial"/>
          <w:sz w:val="22"/>
          <w:szCs w:val="22"/>
        </w:rPr>
        <w:t xml:space="preserve">1) </w:t>
      </w:r>
      <w:r w:rsidR="004840ED" w:rsidRPr="004840ED">
        <w:rPr>
          <w:rFonts w:ascii="Arial" w:hAnsi="Arial" w:cs="Arial"/>
          <w:sz w:val="22"/>
          <w:szCs w:val="22"/>
          <w:lang w:val="es-ES"/>
        </w:rPr>
        <w:t>El empleador, con motivo de la entrada en vigencia de la Ley Nº 20.828, se encuentra facultado para modificar unilateralmente la malla de turnos o el sistema de jornada pactado, con el solo propósito que los días de descanso compensatorios, no coincidan con aquellos que la Ley Nº 19.973 declara como irrenunciables. Estimándose que el ámbito de su facultad se refiere exclusivamente a cambiar el día de descanso por otro dentro de la misma semana.</w:t>
      </w:r>
    </w:p>
    <w:p w14:paraId="3F217B08" w14:textId="3C07CB2A" w:rsidR="00DE5570" w:rsidRDefault="004840ED" w:rsidP="00DE5570">
      <w:pPr>
        <w:ind w:left="4820"/>
        <w:jc w:val="both"/>
        <w:rPr>
          <w:rFonts w:ascii="Arial" w:hAnsi="Arial" w:cs="Arial"/>
          <w:sz w:val="22"/>
          <w:szCs w:val="22"/>
          <w:lang w:val="es-ES"/>
        </w:rPr>
      </w:pPr>
      <w:r>
        <w:rPr>
          <w:rFonts w:ascii="Arial" w:hAnsi="Arial" w:cs="Arial"/>
          <w:sz w:val="22"/>
          <w:szCs w:val="22"/>
          <w:lang w:val="es-ES"/>
        </w:rPr>
        <w:t>2) T</w:t>
      </w:r>
      <w:r w:rsidRPr="004840ED">
        <w:rPr>
          <w:rFonts w:ascii="Arial" w:hAnsi="Arial" w:cs="Arial"/>
          <w:sz w:val="22"/>
          <w:szCs w:val="22"/>
          <w:lang w:val="es-ES"/>
        </w:rPr>
        <w:t>ratándose de un trabajador cuyo sistema de distribución de jornada abarca de lunes a viernes o de lunes a sábado, no resulta aplicable lo dispuesto en el artículo 38 ter del Código del Trabajo, puesto que dicha prestación de servicios no se enmarca en el sistema de excepcionalidad reglamentado en el artículo 38 del mismo cuerpo normativo.</w:t>
      </w:r>
    </w:p>
    <w:p w14:paraId="4010D810" w14:textId="1209EBD1" w:rsidR="00EC7903" w:rsidRPr="00DE5570" w:rsidRDefault="004840ED" w:rsidP="00DE5570">
      <w:pPr>
        <w:ind w:left="4820"/>
        <w:jc w:val="both"/>
        <w:rPr>
          <w:rFonts w:ascii="Arial" w:hAnsi="Arial" w:cs="Arial"/>
          <w:sz w:val="22"/>
          <w:szCs w:val="22"/>
          <w:lang w:val="es-ES"/>
        </w:rPr>
      </w:pPr>
      <w:r>
        <w:rPr>
          <w:rFonts w:ascii="Arial" w:hAnsi="Arial" w:cs="Arial"/>
          <w:sz w:val="22"/>
          <w:szCs w:val="22"/>
          <w:lang w:val="es-ES"/>
        </w:rPr>
        <w:t xml:space="preserve">3) La </w:t>
      </w:r>
      <w:r w:rsidRPr="004840ED">
        <w:rPr>
          <w:rFonts w:ascii="Arial" w:hAnsi="Arial" w:cs="Arial"/>
          <w:sz w:val="22"/>
          <w:szCs w:val="22"/>
          <w:lang w:val="es-ES"/>
        </w:rPr>
        <w:t>circunstancia de encontrarse un trabajador exceptuado de la limitación a su jornada laboral conforme a lo dispuesto en el artículo 22 inciso 2º del Código del Trabajo, no le priva del derecho a descanso semanal, por lo que en la medida que su sistema de distribución de jornada comprenda el día domingo para la prestación de sus servicios, y concurriendo los demás requisitos legales, le resulta aplicable lo dispuesto en el artículo 38 ter.</w:t>
      </w:r>
    </w:p>
    <w:p w14:paraId="21A8776F" w14:textId="77777777" w:rsidR="00DE5570" w:rsidRDefault="00DE5570" w:rsidP="00DE5570">
      <w:pPr>
        <w:ind w:left="4820" w:hanging="1134"/>
        <w:jc w:val="both"/>
        <w:rPr>
          <w:rFonts w:ascii="Arial" w:hAnsi="Arial" w:cs="Arial"/>
          <w:b/>
          <w:sz w:val="22"/>
          <w:szCs w:val="22"/>
        </w:rPr>
      </w:pPr>
    </w:p>
    <w:p w14:paraId="3B6190F0" w14:textId="3B9A532A" w:rsidR="000E32A6" w:rsidRDefault="00B92134" w:rsidP="00DE5570">
      <w:pPr>
        <w:ind w:left="4820" w:hanging="1134"/>
        <w:jc w:val="both"/>
        <w:rPr>
          <w:rFonts w:ascii="Arial" w:hAnsi="Arial" w:cs="Arial"/>
          <w:sz w:val="22"/>
          <w:szCs w:val="22"/>
        </w:rPr>
      </w:pPr>
      <w:r w:rsidRPr="000E32A6">
        <w:rPr>
          <w:rFonts w:ascii="Arial" w:hAnsi="Arial" w:cs="Arial"/>
          <w:b/>
          <w:sz w:val="22"/>
          <w:szCs w:val="22"/>
        </w:rPr>
        <w:t xml:space="preserve">ANT.: </w:t>
      </w:r>
      <w:r w:rsidRPr="000E32A6">
        <w:rPr>
          <w:rFonts w:ascii="Arial" w:hAnsi="Arial" w:cs="Arial"/>
          <w:sz w:val="22"/>
          <w:szCs w:val="22"/>
        </w:rPr>
        <w:tab/>
      </w:r>
      <w:r w:rsidR="00EC7903">
        <w:rPr>
          <w:rFonts w:ascii="Arial" w:hAnsi="Arial" w:cs="Arial"/>
          <w:sz w:val="22"/>
          <w:szCs w:val="22"/>
        </w:rPr>
        <w:t xml:space="preserve">Presentación de 09.09.2015, de Leandro </w:t>
      </w:r>
      <w:r w:rsidR="00DE5570">
        <w:rPr>
          <w:rFonts w:ascii="Arial" w:hAnsi="Arial" w:cs="Arial"/>
          <w:sz w:val="22"/>
          <w:szCs w:val="22"/>
        </w:rPr>
        <w:t xml:space="preserve">Cortez, Secretario General </w:t>
      </w:r>
      <w:proofErr w:type="spellStart"/>
      <w:r w:rsidR="00DE5570">
        <w:rPr>
          <w:rFonts w:ascii="Arial" w:hAnsi="Arial" w:cs="Arial"/>
          <w:sz w:val="22"/>
          <w:szCs w:val="22"/>
        </w:rPr>
        <w:t>Consfecove</w:t>
      </w:r>
      <w:proofErr w:type="spellEnd"/>
    </w:p>
    <w:p w14:paraId="2043E01C" w14:textId="77777777" w:rsidR="00DE5570" w:rsidRDefault="00DE5570" w:rsidP="00DE5570">
      <w:pPr>
        <w:rPr>
          <w:rFonts w:ascii="Arial" w:hAnsi="Arial" w:cs="Arial"/>
          <w:b/>
          <w:sz w:val="22"/>
          <w:szCs w:val="22"/>
        </w:rPr>
      </w:pPr>
    </w:p>
    <w:p w14:paraId="66F95588" w14:textId="77777777" w:rsidR="00DE5570" w:rsidRDefault="00DE5570" w:rsidP="00DE5570">
      <w:pPr>
        <w:rPr>
          <w:rFonts w:ascii="Arial" w:hAnsi="Arial" w:cs="Arial"/>
          <w:b/>
          <w:sz w:val="22"/>
          <w:szCs w:val="22"/>
        </w:rPr>
      </w:pPr>
    </w:p>
    <w:p w14:paraId="2FBA271C" w14:textId="065324A8" w:rsidR="00927A49" w:rsidRPr="000E32A6" w:rsidRDefault="00B92134" w:rsidP="00EC7903">
      <w:pPr>
        <w:ind w:left="2835"/>
        <w:rPr>
          <w:rFonts w:ascii="Arial" w:hAnsi="Arial" w:cs="Arial"/>
          <w:sz w:val="22"/>
          <w:szCs w:val="22"/>
        </w:rPr>
      </w:pPr>
      <w:r w:rsidRPr="000E32A6">
        <w:rPr>
          <w:rFonts w:ascii="Arial" w:hAnsi="Arial" w:cs="Arial"/>
          <w:b/>
          <w:sz w:val="22"/>
          <w:szCs w:val="22"/>
        </w:rPr>
        <w:t>SANTIAGO,</w:t>
      </w:r>
      <w:r w:rsidR="00D25B0A">
        <w:rPr>
          <w:rFonts w:ascii="Arial" w:hAnsi="Arial" w:cs="Arial"/>
          <w:b/>
          <w:sz w:val="22"/>
          <w:szCs w:val="22"/>
        </w:rPr>
        <w:t xml:space="preserve"> 15 de septiembre de 2015</w:t>
      </w:r>
      <w:bookmarkStart w:id="0" w:name="_GoBack"/>
      <w:bookmarkEnd w:id="0"/>
    </w:p>
    <w:p w14:paraId="78A9C361" w14:textId="77777777" w:rsidR="00F8353B" w:rsidRDefault="00F8353B" w:rsidP="00801286">
      <w:pPr>
        <w:tabs>
          <w:tab w:val="left" w:pos="284"/>
          <w:tab w:val="left" w:pos="567"/>
        </w:tabs>
        <w:rPr>
          <w:rFonts w:ascii="Arial" w:hAnsi="Arial" w:cs="Arial"/>
          <w:b/>
          <w:sz w:val="22"/>
          <w:szCs w:val="22"/>
        </w:rPr>
      </w:pPr>
    </w:p>
    <w:p w14:paraId="19AFE10F" w14:textId="6B8D2305" w:rsidR="00F8353B" w:rsidRPr="00DE5570" w:rsidRDefault="00801286" w:rsidP="00DE5570">
      <w:pPr>
        <w:tabs>
          <w:tab w:val="left" w:pos="284"/>
          <w:tab w:val="left" w:pos="567"/>
        </w:tabs>
        <w:rPr>
          <w:rFonts w:ascii="Arial" w:hAnsi="Arial" w:cs="Arial"/>
          <w:sz w:val="22"/>
          <w:szCs w:val="22"/>
        </w:rPr>
      </w:pPr>
      <w:r>
        <w:rPr>
          <w:rFonts w:ascii="Arial" w:hAnsi="Arial" w:cs="Arial"/>
          <w:b/>
          <w:sz w:val="22"/>
          <w:szCs w:val="22"/>
        </w:rPr>
        <w:t>DE</w:t>
      </w:r>
      <w:r>
        <w:rPr>
          <w:rFonts w:ascii="Arial" w:hAnsi="Arial" w:cs="Arial"/>
          <w:b/>
          <w:sz w:val="22"/>
          <w:szCs w:val="22"/>
        </w:rPr>
        <w:tab/>
        <w:t>:</w:t>
      </w:r>
      <w:r w:rsidR="00B92134" w:rsidRPr="000E32A6">
        <w:rPr>
          <w:rFonts w:ascii="Arial" w:hAnsi="Arial" w:cs="Arial"/>
          <w:b/>
          <w:sz w:val="22"/>
          <w:szCs w:val="22"/>
        </w:rPr>
        <w:tab/>
      </w:r>
      <w:r w:rsidR="00DE5570">
        <w:rPr>
          <w:rFonts w:ascii="Arial" w:hAnsi="Arial" w:cs="Arial"/>
          <w:b/>
          <w:sz w:val="22"/>
          <w:szCs w:val="22"/>
        </w:rPr>
        <w:t>JEFE DEPARTAMENTO JURÍDICO</w:t>
      </w:r>
    </w:p>
    <w:p w14:paraId="0B59BEB0" w14:textId="77777777" w:rsidR="00D20599" w:rsidRDefault="00801286" w:rsidP="00801286">
      <w:pPr>
        <w:tabs>
          <w:tab w:val="left" w:pos="284"/>
          <w:tab w:val="left" w:pos="567"/>
        </w:tabs>
        <w:jc w:val="both"/>
        <w:rPr>
          <w:rFonts w:ascii="Arial" w:hAnsi="Arial" w:cs="Arial"/>
          <w:b/>
          <w:sz w:val="22"/>
          <w:szCs w:val="22"/>
        </w:rPr>
      </w:pPr>
      <w:r>
        <w:rPr>
          <w:rFonts w:ascii="Arial" w:hAnsi="Arial" w:cs="Arial"/>
          <w:b/>
          <w:sz w:val="22"/>
          <w:szCs w:val="22"/>
        </w:rPr>
        <w:t>A</w:t>
      </w:r>
      <w:r>
        <w:rPr>
          <w:rFonts w:ascii="Arial" w:hAnsi="Arial" w:cs="Arial"/>
          <w:b/>
          <w:sz w:val="22"/>
          <w:szCs w:val="22"/>
        </w:rPr>
        <w:tab/>
      </w:r>
      <w:r>
        <w:rPr>
          <w:rFonts w:ascii="Arial" w:hAnsi="Arial" w:cs="Arial"/>
          <w:b/>
          <w:sz w:val="22"/>
          <w:szCs w:val="22"/>
        </w:rPr>
        <w:tab/>
      </w:r>
      <w:r w:rsidR="00B92134" w:rsidRPr="000E32A6">
        <w:rPr>
          <w:rFonts w:ascii="Arial" w:hAnsi="Arial" w:cs="Arial"/>
          <w:b/>
          <w:sz w:val="22"/>
          <w:szCs w:val="22"/>
        </w:rPr>
        <w:t>:</w:t>
      </w:r>
      <w:r w:rsidR="00B92134" w:rsidRPr="000E32A6">
        <w:rPr>
          <w:rFonts w:ascii="Arial" w:hAnsi="Arial" w:cs="Arial"/>
          <w:b/>
          <w:sz w:val="22"/>
          <w:szCs w:val="22"/>
        </w:rPr>
        <w:tab/>
      </w:r>
      <w:r w:rsidR="00EC7903">
        <w:rPr>
          <w:rFonts w:ascii="Arial" w:hAnsi="Arial" w:cs="Arial"/>
          <w:b/>
          <w:sz w:val="22"/>
          <w:szCs w:val="22"/>
        </w:rPr>
        <w:t>LEANDRO CORTEZ</w:t>
      </w:r>
    </w:p>
    <w:p w14:paraId="0CF52F4C" w14:textId="77777777" w:rsidR="00EC7903" w:rsidRDefault="00EC7903" w:rsidP="00801286">
      <w:pPr>
        <w:tabs>
          <w:tab w:val="left" w:pos="284"/>
          <w:tab w:val="left" w:pos="567"/>
        </w:tabs>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SECRETARIO GENERAL CONSFECOVE</w:t>
      </w:r>
    </w:p>
    <w:p w14:paraId="3524236B" w14:textId="77777777" w:rsidR="00B26A45" w:rsidRPr="00EC7903" w:rsidRDefault="00EC7903" w:rsidP="00B26A45">
      <w:pPr>
        <w:tabs>
          <w:tab w:val="left" w:pos="284"/>
          <w:tab w:val="left" w:pos="567"/>
        </w:tabs>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EC7903">
        <w:rPr>
          <w:rFonts w:ascii="Arial" w:hAnsi="Arial" w:cs="Arial"/>
          <w:b/>
          <w:sz w:val="22"/>
          <w:szCs w:val="22"/>
        </w:rPr>
        <w:t>lcortez03@hotmail.com</w:t>
      </w:r>
    </w:p>
    <w:p w14:paraId="466F8B2D" w14:textId="77777777" w:rsidR="005475E8" w:rsidRDefault="00EC7903" w:rsidP="000E32A6">
      <w:pPr>
        <w:spacing w:before="120" w:after="120"/>
        <w:ind w:firstLine="3686"/>
        <w:jc w:val="both"/>
        <w:rPr>
          <w:rFonts w:ascii="Arial" w:hAnsi="Arial" w:cs="Arial"/>
          <w:sz w:val="22"/>
          <w:szCs w:val="22"/>
          <w:lang w:val="es-ES"/>
        </w:rPr>
      </w:pPr>
      <w:r>
        <w:rPr>
          <w:rFonts w:ascii="Arial" w:hAnsi="Arial" w:cs="Arial"/>
          <w:sz w:val="22"/>
          <w:szCs w:val="22"/>
          <w:lang w:val="es-ES"/>
        </w:rPr>
        <w:t>Mediante presentación del antecedente, ha solicitado un pronunciamie</w:t>
      </w:r>
      <w:r w:rsidR="0019528C">
        <w:rPr>
          <w:rFonts w:ascii="Arial" w:hAnsi="Arial" w:cs="Arial"/>
          <w:sz w:val="22"/>
          <w:szCs w:val="22"/>
          <w:lang w:val="es-ES"/>
        </w:rPr>
        <w:t>nto jurídico respecto a diversos aspectos que conlleva la apli</w:t>
      </w:r>
      <w:r w:rsidR="00AA4682">
        <w:rPr>
          <w:rFonts w:ascii="Arial" w:hAnsi="Arial" w:cs="Arial"/>
          <w:sz w:val="22"/>
          <w:szCs w:val="22"/>
          <w:lang w:val="es-ES"/>
        </w:rPr>
        <w:t>c</w:t>
      </w:r>
      <w:r w:rsidR="0019528C">
        <w:rPr>
          <w:rFonts w:ascii="Arial" w:hAnsi="Arial" w:cs="Arial"/>
          <w:sz w:val="22"/>
          <w:szCs w:val="22"/>
          <w:lang w:val="es-ES"/>
        </w:rPr>
        <w:t>ación del artículo 38 ter del Código del Trabajo.</w:t>
      </w:r>
    </w:p>
    <w:p w14:paraId="403B05E1" w14:textId="77777777" w:rsidR="0019528C" w:rsidRDefault="0019528C" w:rsidP="000E32A6">
      <w:pPr>
        <w:spacing w:before="120" w:after="120"/>
        <w:ind w:firstLine="3686"/>
        <w:jc w:val="both"/>
        <w:rPr>
          <w:rFonts w:ascii="Arial" w:hAnsi="Arial" w:cs="Arial"/>
          <w:sz w:val="22"/>
          <w:szCs w:val="22"/>
          <w:lang w:val="es-ES"/>
        </w:rPr>
      </w:pPr>
      <w:r>
        <w:rPr>
          <w:rFonts w:ascii="Arial" w:hAnsi="Arial" w:cs="Arial"/>
          <w:sz w:val="22"/>
          <w:szCs w:val="22"/>
          <w:lang w:val="es-ES"/>
        </w:rPr>
        <w:lastRenderedPageBreak/>
        <w:t>En particular, el ocurrente formula las siguientes preguntas:</w:t>
      </w:r>
    </w:p>
    <w:p w14:paraId="335D5BFC" w14:textId="77777777" w:rsidR="00A55DFF" w:rsidRDefault="0019528C" w:rsidP="00A55DFF">
      <w:pPr>
        <w:spacing w:before="120" w:after="120"/>
        <w:ind w:firstLine="3686"/>
        <w:jc w:val="both"/>
        <w:rPr>
          <w:rFonts w:ascii="Arial" w:hAnsi="Arial" w:cs="Arial"/>
          <w:sz w:val="22"/>
          <w:szCs w:val="22"/>
          <w:lang w:val="es-ES"/>
        </w:rPr>
      </w:pPr>
      <w:r>
        <w:rPr>
          <w:rFonts w:ascii="Arial" w:hAnsi="Arial" w:cs="Arial"/>
          <w:sz w:val="22"/>
          <w:szCs w:val="22"/>
          <w:lang w:val="es-ES"/>
        </w:rPr>
        <w:t xml:space="preserve">1.- </w:t>
      </w:r>
      <w:r w:rsidR="00AA4682">
        <w:rPr>
          <w:rFonts w:ascii="Arial" w:hAnsi="Arial" w:cs="Arial"/>
          <w:sz w:val="22"/>
          <w:szCs w:val="22"/>
          <w:lang w:val="es-ES"/>
        </w:rPr>
        <w:t>Si el hecho que los días de descanso semanal, coincidan con los días 18 y 19 de septiem</w:t>
      </w:r>
      <w:r w:rsidR="00A55DFF">
        <w:rPr>
          <w:rFonts w:ascii="Arial" w:hAnsi="Arial" w:cs="Arial"/>
          <w:sz w:val="22"/>
          <w:szCs w:val="22"/>
          <w:lang w:val="es-ES"/>
        </w:rPr>
        <w:t>bre (feriados irrenunciables), ¿</w:t>
      </w:r>
      <w:r w:rsidR="00AA4682">
        <w:rPr>
          <w:rFonts w:ascii="Arial" w:hAnsi="Arial" w:cs="Arial"/>
          <w:sz w:val="22"/>
          <w:szCs w:val="22"/>
          <w:lang w:val="es-ES"/>
        </w:rPr>
        <w:t>implica que la malla de turnos deba ser modificada para otorgar el descanso semanal en otros días</w:t>
      </w:r>
      <w:r w:rsidR="00A55DFF">
        <w:rPr>
          <w:rFonts w:ascii="Arial" w:hAnsi="Arial" w:cs="Arial"/>
          <w:sz w:val="22"/>
          <w:szCs w:val="22"/>
          <w:lang w:val="es-ES"/>
        </w:rPr>
        <w:t>?. En caso afirmativo, ¿</w:t>
      </w:r>
      <w:r w:rsidR="00AA4682">
        <w:rPr>
          <w:rFonts w:ascii="Arial" w:hAnsi="Arial" w:cs="Arial"/>
          <w:sz w:val="22"/>
          <w:szCs w:val="22"/>
          <w:lang w:val="es-ES"/>
        </w:rPr>
        <w:t>los referidos días de descanso deben otorgarse en la misma semana o en otra distinta</w:t>
      </w:r>
      <w:r w:rsidR="00A55DFF">
        <w:rPr>
          <w:rFonts w:ascii="Arial" w:hAnsi="Arial" w:cs="Arial"/>
          <w:sz w:val="22"/>
          <w:szCs w:val="22"/>
          <w:lang w:val="es-ES"/>
        </w:rPr>
        <w:t>?, y si tal distribución ¿es decisión unilateral del empleador o deriva del mutuo acuerdo?</w:t>
      </w:r>
    </w:p>
    <w:p w14:paraId="1F9EA4D2" w14:textId="77777777" w:rsidR="00A55DFF" w:rsidRDefault="00A55DFF" w:rsidP="00A55DFF">
      <w:pPr>
        <w:spacing w:before="120" w:after="120"/>
        <w:ind w:firstLine="3686"/>
        <w:jc w:val="both"/>
        <w:rPr>
          <w:rFonts w:ascii="Arial" w:hAnsi="Arial" w:cs="Arial"/>
          <w:sz w:val="22"/>
          <w:szCs w:val="22"/>
          <w:lang w:val="es-ES"/>
        </w:rPr>
      </w:pPr>
      <w:r>
        <w:rPr>
          <w:rFonts w:ascii="Arial" w:hAnsi="Arial" w:cs="Arial"/>
          <w:sz w:val="22"/>
          <w:szCs w:val="22"/>
          <w:lang w:val="es-ES"/>
        </w:rPr>
        <w:t xml:space="preserve">2.- </w:t>
      </w:r>
      <w:r w:rsidR="00FB306E">
        <w:rPr>
          <w:rFonts w:ascii="Arial" w:hAnsi="Arial" w:cs="Arial"/>
          <w:sz w:val="22"/>
          <w:szCs w:val="22"/>
          <w:lang w:val="es-ES"/>
        </w:rPr>
        <w:t xml:space="preserve">Si el sábado 19 de septiembre de 2015, coincide con </w:t>
      </w:r>
      <w:r w:rsidR="005B20F1">
        <w:rPr>
          <w:rFonts w:ascii="Arial" w:hAnsi="Arial" w:cs="Arial"/>
          <w:sz w:val="22"/>
          <w:szCs w:val="22"/>
          <w:lang w:val="es-ES"/>
        </w:rPr>
        <w:t>el descanso semanal de un trabajador que se desempeña en jornada de lunes a viernes ¿procede que dicho día de descanso semanal se redistribuya?</w:t>
      </w:r>
    </w:p>
    <w:p w14:paraId="2425D0B3" w14:textId="77777777" w:rsidR="00AA4682" w:rsidRDefault="005B20F1" w:rsidP="005B20F1">
      <w:pPr>
        <w:spacing w:before="120" w:after="120"/>
        <w:ind w:firstLine="3686"/>
        <w:jc w:val="both"/>
        <w:rPr>
          <w:rFonts w:ascii="Arial" w:hAnsi="Arial" w:cs="Arial"/>
          <w:sz w:val="22"/>
          <w:szCs w:val="22"/>
          <w:lang w:val="es-ES"/>
        </w:rPr>
      </w:pPr>
      <w:r>
        <w:rPr>
          <w:rFonts w:ascii="Arial" w:hAnsi="Arial" w:cs="Arial"/>
          <w:sz w:val="22"/>
          <w:szCs w:val="22"/>
          <w:lang w:val="es-ES"/>
        </w:rPr>
        <w:t>3.- ¿resulta aplicable el artículo 38 ter del Código del Trabajo, respecto de los trabajadores excluidos del límite a la jornada laboral?</w:t>
      </w:r>
    </w:p>
    <w:p w14:paraId="59C436A5" w14:textId="77777777" w:rsidR="005475E8" w:rsidRDefault="00526BD5" w:rsidP="000E32A6">
      <w:pPr>
        <w:spacing w:before="120" w:after="120"/>
        <w:ind w:firstLine="3686"/>
        <w:jc w:val="both"/>
        <w:rPr>
          <w:rFonts w:ascii="Arial" w:hAnsi="Arial" w:cs="Arial"/>
          <w:sz w:val="22"/>
          <w:szCs w:val="22"/>
          <w:lang w:val="es-ES"/>
        </w:rPr>
      </w:pPr>
      <w:r>
        <w:rPr>
          <w:rFonts w:ascii="Arial" w:hAnsi="Arial" w:cs="Arial"/>
          <w:sz w:val="22"/>
          <w:szCs w:val="22"/>
          <w:lang w:val="es-ES"/>
        </w:rPr>
        <w:t>Sobre el particular, cúmpleme informar que el artículo 38 ter del Código del Trabajo, ordena:</w:t>
      </w:r>
    </w:p>
    <w:p w14:paraId="57714D0E" w14:textId="77777777" w:rsidR="00526BD5" w:rsidRPr="00526BD5" w:rsidRDefault="00526BD5" w:rsidP="000E32A6">
      <w:pPr>
        <w:spacing w:before="120" w:after="120"/>
        <w:ind w:firstLine="3686"/>
        <w:jc w:val="both"/>
        <w:rPr>
          <w:rFonts w:ascii="Arial" w:hAnsi="Arial" w:cs="Arial"/>
          <w:i/>
          <w:sz w:val="22"/>
          <w:szCs w:val="22"/>
          <w:lang w:val="es-ES"/>
        </w:rPr>
      </w:pPr>
      <w:r w:rsidRPr="00526BD5">
        <w:rPr>
          <w:rFonts w:ascii="Arial" w:hAnsi="Arial" w:cs="Arial"/>
          <w:i/>
          <w:sz w:val="22"/>
          <w:szCs w:val="22"/>
          <w:lang w:val="es-ES"/>
        </w:rPr>
        <w:t>“En el caso de los trabajadores señalados en el número 7 del artículo 38, los días de descanso semanal no podrán coincidir con los días feriados establecidos en la ley Nº</w:t>
      </w:r>
      <w:r w:rsidR="00EA2021">
        <w:rPr>
          <w:rFonts w:ascii="Arial" w:hAnsi="Arial" w:cs="Arial"/>
          <w:i/>
          <w:sz w:val="22"/>
          <w:szCs w:val="22"/>
          <w:lang w:val="es-ES"/>
        </w:rPr>
        <w:t xml:space="preserve"> </w:t>
      </w:r>
      <w:r w:rsidRPr="00526BD5">
        <w:rPr>
          <w:rFonts w:ascii="Arial" w:hAnsi="Arial" w:cs="Arial"/>
          <w:i/>
          <w:sz w:val="22"/>
          <w:szCs w:val="22"/>
          <w:lang w:val="es-ES"/>
        </w:rPr>
        <w:t>19.973”.</w:t>
      </w:r>
    </w:p>
    <w:p w14:paraId="30A5E841" w14:textId="77777777" w:rsidR="005475E8" w:rsidRDefault="00526BD5" w:rsidP="000E32A6">
      <w:pPr>
        <w:spacing w:before="120" w:after="120"/>
        <w:ind w:firstLine="3686"/>
        <w:jc w:val="both"/>
        <w:rPr>
          <w:rFonts w:ascii="Arial" w:hAnsi="Arial" w:cs="Arial"/>
          <w:sz w:val="22"/>
          <w:szCs w:val="22"/>
          <w:lang w:val="es-ES"/>
        </w:rPr>
      </w:pPr>
      <w:r>
        <w:rPr>
          <w:rFonts w:ascii="Arial" w:hAnsi="Arial" w:cs="Arial"/>
          <w:sz w:val="22"/>
          <w:szCs w:val="22"/>
          <w:lang w:val="es-ES"/>
        </w:rPr>
        <w:t>Por su parte, el artículo 2º de la Ley Nº 19.973 de 10.09.2004, declara que:</w:t>
      </w:r>
    </w:p>
    <w:p w14:paraId="67CBDB1B" w14:textId="77777777" w:rsidR="00526BD5" w:rsidRPr="00051346" w:rsidRDefault="00051346" w:rsidP="00526BD5">
      <w:pPr>
        <w:spacing w:before="120" w:after="120"/>
        <w:ind w:firstLine="3686"/>
        <w:jc w:val="both"/>
        <w:rPr>
          <w:rFonts w:ascii="Arial" w:hAnsi="Arial" w:cs="Arial"/>
          <w:i/>
          <w:sz w:val="22"/>
          <w:szCs w:val="22"/>
          <w:lang w:val="es-ES"/>
        </w:rPr>
      </w:pPr>
      <w:r>
        <w:rPr>
          <w:rFonts w:ascii="Arial" w:hAnsi="Arial" w:cs="Arial"/>
          <w:i/>
          <w:sz w:val="22"/>
          <w:szCs w:val="22"/>
          <w:lang w:val="es-ES"/>
        </w:rPr>
        <w:t>“</w:t>
      </w:r>
      <w:r w:rsidR="00526BD5" w:rsidRPr="00051346">
        <w:rPr>
          <w:rFonts w:ascii="Arial" w:hAnsi="Arial" w:cs="Arial"/>
          <w:i/>
          <w:sz w:val="22"/>
          <w:szCs w:val="22"/>
          <w:lang w:val="es-ES"/>
        </w:rPr>
        <w:t>Los días 1 de mayo, 18 y 19 de septiembre, 25 de diciembre y 1 de enero de cada año, serán feriados obligatorios e irrenunciables para todos los dependientes del comercio, con excepción de aquellos que se desempeñen en clubes, restaurantes, establecimientos de entretenimiento, tales como, cines, espectáculos en vivo, discotecas, pub, cabarets, casinos de juego y otros lugares de juego legalmente autorizados.</w:t>
      </w:r>
    </w:p>
    <w:p w14:paraId="12A17E51" w14:textId="77777777" w:rsidR="00526BD5" w:rsidRDefault="00526BD5" w:rsidP="00526BD5">
      <w:pPr>
        <w:spacing w:before="120" w:after="120"/>
        <w:ind w:firstLine="3686"/>
        <w:jc w:val="both"/>
        <w:rPr>
          <w:rFonts w:ascii="Arial" w:hAnsi="Arial" w:cs="Arial"/>
          <w:sz w:val="22"/>
          <w:szCs w:val="22"/>
          <w:lang w:val="es-ES"/>
        </w:rPr>
      </w:pPr>
      <w:r w:rsidRPr="00051346">
        <w:rPr>
          <w:rFonts w:ascii="Arial" w:hAnsi="Arial" w:cs="Arial"/>
          <w:i/>
          <w:sz w:val="22"/>
          <w:szCs w:val="22"/>
          <w:lang w:val="es-ES"/>
        </w:rPr>
        <w:t>Tampoco será aplicable a los dependientes de expendio de combustibles, farmacias de urgencia y de las farmacias que deban cumplir turnos fijados por la autoridad sanitaria</w:t>
      </w:r>
      <w:r w:rsidR="00051346">
        <w:rPr>
          <w:rFonts w:ascii="Arial" w:hAnsi="Arial" w:cs="Arial"/>
          <w:i/>
          <w:sz w:val="22"/>
          <w:szCs w:val="22"/>
          <w:lang w:val="es-ES"/>
        </w:rPr>
        <w:t>”</w:t>
      </w:r>
      <w:r w:rsidRPr="00051346">
        <w:rPr>
          <w:rFonts w:ascii="Arial" w:hAnsi="Arial" w:cs="Arial"/>
          <w:i/>
          <w:sz w:val="22"/>
          <w:szCs w:val="22"/>
          <w:lang w:val="es-ES"/>
        </w:rPr>
        <w:t>.</w:t>
      </w:r>
    </w:p>
    <w:p w14:paraId="5877A54B" w14:textId="46766089" w:rsidR="005B20F1" w:rsidRDefault="00051346" w:rsidP="005B20F1">
      <w:pPr>
        <w:spacing w:before="120" w:after="120"/>
        <w:ind w:firstLine="3686"/>
        <w:jc w:val="both"/>
        <w:rPr>
          <w:rFonts w:ascii="Arial" w:hAnsi="Arial" w:cs="Arial"/>
          <w:sz w:val="22"/>
          <w:szCs w:val="22"/>
          <w:lang w:val="es-ES"/>
        </w:rPr>
      </w:pPr>
      <w:r>
        <w:rPr>
          <w:rFonts w:ascii="Arial" w:hAnsi="Arial" w:cs="Arial"/>
          <w:sz w:val="22"/>
          <w:szCs w:val="22"/>
          <w:lang w:val="es-ES"/>
        </w:rPr>
        <w:t>Conforme a las disposiciones legales transcritas</w:t>
      </w:r>
      <w:r w:rsidR="00EA2021">
        <w:rPr>
          <w:rFonts w:ascii="Arial" w:hAnsi="Arial" w:cs="Arial"/>
          <w:sz w:val="22"/>
          <w:szCs w:val="22"/>
          <w:lang w:val="es-ES"/>
        </w:rPr>
        <w:t>,</w:t>
      </w:r>
      <w:r>
        <w:rPr>
          <w:rFonts w:ascii="Arial" w:hAnsi="Arial" w:cs="Arial"/>
          <w:sz w:val="22"/>
          <w:szCs w:val="22"/>
          <w:lang w:val="es-ES"/>
        </w:rPr>
        <w:t xml:space="preserve"> </w:t>
      </w:r>
      <w:r w:rsidR="005B20F1">
        <w:rPr>
          <w:rFonts w:ascii="Arial" w:hAnsi="Arial" w:cs="Arial"/>
          <w:sz w:val="22"/>
          <w:szCs w:val="22"/>
          <w:lang w:val="es-ES"/>
        </w:rPr>
        <w:t xml:space="preserve">este Servicio mediante Dictamen Nº </w:t>
      </w:r>
      <w:r w:rsidR="00FE2641">
        <w:rPr>
          <w:rFonts w:ascii="Arial" w:hAnsi="Arial" w:cs="Arial"/>
          <w:sz w:val="22"/>
          <w:szCs w:val="22"/>
          <w:lang w:val="es-ES"/>
        </w:rPr>
        <w:t>4754/57 de 14.09.2015</w:t>
      </w:r>
      <w:r w:rsidR="005B20F1">
        <w:rPr>
          <w:rFonts w:ascii="Arial" w:hAnsi="Arial" w:cs="Arial"/>
          <w:sz w:val="22"/>
          <w:szCs w:val="22"/>
          <w:lang w:val="es-ES"/>
        </w:rPr>
        <w:t xml:space="preserve">, ha interpretado que: </w:t>
      </w:r>
    </w:p>
    <w:p w14:paraId="010D0D1C" w14:textId="77777777" w:rsidR="00EA2021" w:rsidRPr="005B20F1" w:rsidRDefault="005B20F1" w:rsidP="005B20F1">
      <w:pPr>
        <w:spacing w:before="120" w:after="120"/>
        <w:ind w:firstLine="3686"/>
        <w:jc w:val="both"/>
        <w:rPr>
          <w:rFonts w:ascii="Arial" w:hAnsi="Arial" w:cs="Arial"/>
          <w:i/>
          <w:sz w:val="22"/>
          <w:szCs w:val="22"/>
          <w:lang w:val="es-ES"/>
        </w:rPr>
      </w:pPr>
      <w:r w:rsidRPr="005B20F1">
        <w:rPr>
          <w:rFonts w:ascii="Arial" w:hAnsi="Arial" w:cs="Arial"/>
          <w:i/>
          <w:sz w:val="22"/>
          <w:szCs w:val="22"/>
          <w:lang w:val="es-ES"/>
        </w:rPr>
        <w:t>“…</w:t>
      </w:r>
      <w:r w:rsidR="00EA2021" w:rsidRPr="005B20F1">
        <w:rPr>
          <w:rFonts w:ascii="Arial" w:hAnsi="Arial" w:cs="Arial"/>
          <w:i/>
          <w:sz w:val="22"/>
          <w:szCs w:val="22"/>
          <w:lang w:val="es-ES"/>
        </w:rPr>
        <w:t>el legislador laboral, ha restringido la facultad de las partes o solo del empleador en ciertos casos, respecto a la determinación de la oportunidad en que se hará uso del descanso semanal, tratándose de ciertos períodos del año que coinciden con fechas de carácter conmemorativo o de celebración.</w:t>
      </w:r>
    </w:p>
    <w:p w14:paraId="6CBC9CFF" w14:textId="77777777" w:rsidR="00EA2021" w:rsidRPr="005B20F1" w:rsidRDefault="00EA2021" w:rsidP="000E32A6">
      <w:pPr>
        <w:spacing w:before="120" w:after="120"/>
        <w:ind w:firstLine="3686"/>
        <w:jc w:val="both"/>
        <w:rPr>
          <w:rFonts w:ascii="Arial" w:hAnsi="Arial" w:cs="Arial"/>
          <w:i/>
          <w:sz w:val="22"/>
          <w:szCs w:val="22"/>
          <w:lang w:val="es-ES"/>
        </w:rPr>
      </w:pPr>
      <w:r w:rsidRPr="005B20F1">
        <w:rPr>
          <w:rFonts w:ascii="Arial" w:hAnsi="Arial" w:cs="Arial"/>
          <w:i/>
          <w:sz w:val="22"/>
          <w:szCs w:val="22"/>
          <w:lang w:val="es-ES"/>
        </w:rPr>
        <w:t xml:space="preserve">En efecto, </w:t>
      </w:r>
      <w:r w:rsidR="00144082" w:rsidRPr="005B20F1">
        <w:rPr>
          <w:rFonts w:ascii="Arial" w:hAnsi="Arial" w:cs="Arial"/>
          <w:i/>
          <w:sz w:val="22"/>
          <w:szCs w:val="22"/>
          <w:lang w:val="es-ES"/>
        </w:rPr>
        <w:t xml:space="preserve">la Ley Nº 19.973 </w:t>
      </w:r>
      <w:r w:rsidR="00F576D4" w:rsidRPr="005B20F1">
        <w:rPr>
          <w:rFonts w:ascii="Arial" w:hAnsi="Arial" w:cs="Arial"/>
          <w:i/>
          <w:sz w:val="22"/>
          <w:szCs w:val="22"/>
          <w:lang w:val="es-ES"/>
        </w:rPr>
        <w:t>consagra</w:t>
      </w:r>
      <w:r w:rsidR="00144082" w:rsidRPr="005B20F1">
        <w:rPr>
          <w:rFonts w:ascii="Arial" w:hAnsi="Arial" w:cs="Arial"/>
          <w:i/>
          <w:sz w:val="22"/>
          <w:szCs w:val="22"/>
          <w:lang w:val="es-ES"/>
        </w:rPr>
        <w:t xml:space="preserve"> como feriado irrenunciables los días 1 de enero, 1 de mayo, 18 y 19 de septiembre, y 25 de diciembre, </w:t>
      </w:r>
      <w:r w:rsidR="00F576D4" w:rsidRPr="005B20F1">
        <w:rPr>
          <w:rFonts w:ascii="Arial" w:hAnsi="Arial" w:cs="Arial"/>
          <w:i/>
          <w:sz w:val="22"/>
          <w:szCs w:val="22"/>
          <w:lang w:val="es-ES"/>
        </w:rPr>
        <w:t xml:space="preserve">con </w:t>
      </w:r>
      <w:r w:rsidR="00C244B8" w:rsidRPr="005B20F1">
        <w:rPr>
          <w:rFonts w:ascii="Arial" w:hAnsi="Arial" w:cs="Arial"/>
          <w:i/>
          <w:sz w:val="22"/>
          <w:szCs w:val="22"/>
          <w:lang w:val="es-ES"/>
        </w:rPr>
        <w:t>la</w:t>
      </w:r>
      <w:r w:rsidR="00F576D4" w:rsidRPr="005B20F1">
        <w:rPr>
          <w:rFonts w:ascii="Arial" w:hAnsi="Arial" w:cs="Arial"/>
          <w:i/>
          <w:sz w:val="22"/>
          <w:szCs w:val="22"/>
          <w:lang w:val="es-ES"/>
        </w:rPr>
        <w:t xml:space="preserve"> clara finalidad de propiciar que los trabajadores puedan compartir con sus familias y círculos sociales, en al menos 5 días al año</w:t>
      </w:r>
      <w:r w:rsidR="0019338C" w:rsidRPr="005B20F1">
        <w:rPr>
          <w:rFonts w:ascii="Arial" w:hAnsi="Arial" w:cs="Arial"/>
          <w:i/>
          <w:sz w:val="22"/>
          <w:szCs w:val="22"/>
          <w:lang w:val="es-ES"/>
        </w:rPr>
        <w:t>, por considerar que aquellos</w:t>
      </w:r>
      <w:r w:rsidR="00F576D4" w:rsidRPr="005B20F1">
        <w:rPr>
          <w:rFonts w:ascii="Arial" w:hAnsi="Arial" w:cs="Arial"/>
          <w:i/>
          <w:sz w:val="22"/>
          <w:szCs w:val="22"/>
          <w:lang w:val="es-ES"/>
        </w:rPr>
        <w:t xml:space="preserve"> revisten </w:t>
      </w:r>
      <w:r w:rsidR="00C244B8" w:rsidRPr="005B20F1">
        <w:rPr>
          <w:rFonts w:ascii="Arial" w:hAnsi="Arial" w:cs="Arial"/>
          <w:i/>
          <w:sz w:val="22"/>
          <w:szCs w:val="22"/>
          <w:lang w:val="es-ES"/>
        </w:rPr>
        <w:t xml:space="preserve">una </w:t>
      </w:r>
      <w:r w:rsidR="00F576D4" w:rsidRPr="005B20F1">
        <w:rPr>
          <w:rFonts w:ascii="Arial" w:hAnsi="Arial" w:cs="Arial"/>
          <w:i/>
          <w:sz w:val="22"/>
          <w:szCs w:val="22"/>
          <w:lang w:val="es-ES"/>
        </w:rPr>
        <w:t xml:space="preserve">particular entidad o </w:t>
      </w:r>
      <w:r w:rsidR="00C244B8" w:rsidRPr="005B20F1">
        <w:rPr>
          <w:rFonts w:ascii="Arial" w:hAnsi="Arial" w:cs="Arial"/>
          <w:i/>
          <w:sz w:val="22"/>
          <w:szCs w:val="22"/>
          <w:lang w:val="es-ES"/>
        </w:rPr>
        <w:t>significación</w:t>
      </w:r>
      <w:r w:rsidR="00F576D4" w:rsidRPr="005B20F1">
        <w:rPr>
          <w:rFonts w:ascii="Arial" w:hAnsi="Arial" w:cs="Arial"/>
          <w:i/>
          <w:sz w:val="22"/>
          <w:szCs w:val="22"/>
          <w:lang w:val="es-ES"/>
        </w:rPr>
        <w:t>.</w:t>
      </w:r>
    </w:p>
    <w:p w14:paraId="1ADFDAD3" w14:textId="77777777" w:rsidR="00F576D4" w:rsidRPr="005B20F1" w:rsidRDefault="00F576D4" w:rsidP="000E32A6">
      <w:pPr>
        <w:spacing w:before="120" w:after="120"/>
        <w:ind w:firstLine="3686"/>
        <w:jc w:val="both"/>
        <w:rPr>
          <w:rFonts w:ascii="Arial" w:hAnsi="Arial" w:cs="Arial"/>
          <w:i/>
          <w:sz w:val="22"/>
          <w:szCs w:val="22"/>
          <w:lang w:val="es-ES"/>
        </w:rPr>
      </w:pPr>
      <w:r w:rsidRPr="005B20F1">
        <w:rPr>
          <w:rFonts w:ascii="Arial" w:hAnsi="Arial" w:cs="Arial"/>
          <w:i/>
          <w:sz w:val="22"/>
          <w:szCs w:val="22"/>
          <w:lang w:val="es-ES"/>
        </w:rPr>
        <w:t xml:space="preserve">Sin embargo, </w:t>
      </w:r>
      <w:r w:rsidR="00F1015F" w:rsidRPr="005B20F1">
        <w:rPr>
          <w:rFonts w:ascii="Arial" w:hAnsi="Arial" w:cs="Arial"/>
          <w:i/>
          <w:sz w:val="22"/>
          <w:szCs w:val="22"/>
          <w:lang w:val="es-ES"/>
        </w:rPr>
        <w:t xml:space="preserve">habiéndose observado la realidad laboral, </w:t>
      </w:r>
      <w:r w:rsidRPr="005B20F1">
        <w:rPr>
          <w:rFonts w:ascii="Arial" w:hAnsi="Arial" w:cs="Arial"/>
          <w:i/>
          <w:sz w:val="22"/>
          <w:szCs w:val="22"/>
          <w:lang w:val="es-ES"/>
        </w:rPr>
        <w:t xml:space="preserve">se ha debido procurar que </w:t>
      </w:r>
      <w:r w:rsidR="0019338C" w:rsidRPr="005B20F1">
        <w:rPr>
          <w:rFonts w:ascii="Arial" w:hAnsi="Arial" w:cs="Arial"/>
          <w:i/>
          <w:sz w:val="22"/>
          <w:szCs w:val="22"/>
          <w:lang w:val="es-ES"/>
        </w:rPr>
        <w:t>nuestro ordenamiento jurídico contemple una norma de protección específica, que prohíba hacer coincidir él o los días de descanso semanal, con aquellos considerados como feriado irrenunciable</w:t>
      </w:r>
      <w:r w:rsidR="005B20F1" w:rsidRPr="005B20F1">
        <w:rPr>
          <w:rFonts w:ascii="Arial" w:hAnsi="Arial" w:cs="Arial"/>
          <w:i/>
          <w:sz w:val="22"/>
          <w:szCs w:val="22"/>
          <w:lang w:val="es-ES"/>
        </w:rPr>
        <w:t>”</w:t>
      </w:r>
      <w:r w:rsidR="0019338C" w:rsidRPr="005B20F1">
        <w:rPr>
          <w:rFonts w:ascii="Arial" w:hAnsi="Arial" w:cs="Arial"/>
          <w:i/>
          <w:sz w:val="22"/>
          <w:szCs w:val="22"/>
          <w:lang w:val="es-ES"/>
        </w:rPr>
        <w:t>.</w:t>
      </w:r>
    </w:p>
    <w:p w14:paraId="18DA9D28" w14:textId="77777777" w:rsidR="005B20F1" w:rsidRDefault="0087014C" w:rsidP="000E32A6">
      <w:pPr>
        <w:spacing w:before="120" w:after="120"/>
        <w:ind w:firstLine="3686"/>
        <w:jc w:val="both"/>
        <w:rPr>
          <w:rFonts w:ascii="Arial" w:hAnsi="Arial" w:cs="Arial"/>
          <w:sz w:val="22"/>
          <w:szCs w:val="22"/>
          <w:lang w:val="es-ES"/>
        </w:rPr>
      </w:pPr>
      <w:r>
        <w:rPr>
          <w:rFonts w:ascii="Arial" w:hAnsi="Arial" w:cs="Arial"/>
          <w:sz w:val="22"/>
          <w:szCs w:val="22"/>
          <w:lang w:val="es-ES"/>
        </w:rPr>
        <w:t xml:space="preserve">Así entonces, resulta posible inferir que la entrada en vigencia de la Ley Nº 20.828, impone  al empleador la obligación de modificar el régimen de jornada correspondiente a aquella semana en que </w:t>
      </w:r>
      <w:r w:rsidR="00DF22E5">
        <w:rPr>
          <w:rFonts w:ascii="Arial" w:hAnsi="Arial" w:cs="Arial"/>
          <w:sz w:val="22"/>
          <w:szCs w:val="22"/>
          <w:lang w:val="es-ES"/>
        </w:rPr>
        <w:t>recae</w:t>
      </w:r>
      <w:r>
        <w:rPr>
          <w:rFonts w:ascii="Arial" w:hAnsi="Arial" w:cs="Arial"/>
          <w:sz w:val="22"/>
          <w:szCs w:val="22"/>
          <w:lang w:val="es-ES"/>
        </w:rPr>
        <w:t xml:space="preserve"> uno de los días festivos declarados en carácter de irrenunciables</w:t>
      </w:r>
      <w:r w:rsidR="00DF22E5">
        <w:rPr>
          <w:rFonts w:ascii="Arial" w:hAnsi="Arial" w:cs="Arial"/>
          <w:sz w:val="22"/>
          <w:szCs w:val="22"/>
          <w:lang w:val="es-ES"/>
        </w:rPr>
        <w:t>, a fin que el descanso semanal no coincida con tal feriado</w:t>
      </w:r>
      <w:r>
        <w:rPr>
          <w:rFonts w:ascii="Arial" w:hAnsi="Arial" w:cs="Arial"/>
          <w:sz w:val="22"/>
          <w:szCs w:val="22"/>
          <w:lang w:val="es-ES"/>
        </w:rPr>
        <w:t>.</w:t>
      </w:r>
    </w:p>
    <w:p w14:paraId="15CBCC78" w14:textId="77777777" w:rsidR="0087014C" w:rsidRDefault="00DF22E5" w:rsidP="00DF22E5">
      <w:pPr>
        <w:spacing w:before="120" w:after="120"/>
        <w:ind w:firstLine="3686"/>
        <w:jc w:val="both"/>
        <w:rPr>
          <w:rFonts w:ascii="Arial" w:hAnsi="Arial" w:cs="Arial"/>
          <w:sz w:val="22"/>
          <w:szCs w:val="22"/>
          <w:lang w:val="es-ES"/>
        </w:rPr>
      </w:pPr>
      <w:r>
        <w:rPr>
          <w:rFonts w:ascii="Arial" w:hAnsi="Arial" w:cs="Arial"/>
          <w:sz w:val="22"/>
          <w:szCs w:val="22"/>
          <w:lang w:val="es-ES"/>
        </w:rPr>
        <w:t>Entonces, el empleador está facultado para modificar unilateralmente la oportunidad en que se otorgará el descanso</w:t>
      </w:r>
      <w:r w:rsidR="00BF18D2">
        <w:rPr>
          <w:rFonts w:ascii="Arial" w:hAnsi="Arial" w:cs="Arial"/>
          <w:sz w:val="22"/>
          <w:szCs w:val="22"/>
          <w:lang w:val="es-ES"/>
        </w:rPr>
        <w:t xml:space="preserve"> semanal</w:t>
      </w:r>
      <w:r>
        <w:rPr>
          <w:rFonts w:ascii="Arial" w:hAnsi="Arial" w:cs="Arial"/>
          <w:sz w:val="22"/>
          <w:szCs w:val="22"/>
          <w:lang w:val="es-ES"/>
        </w:rPr>
        <w:t xml:space="preserve">, </w:t>
      </w:r>
      <w:r w:rsidR="00782F25">
        <w:rPr>
          <w:rFonts w:ascii="Arial" w:hAnsi="Arial" w:cs="Arial"/>
          <w:sz w:val="22"/>
          <w:szCs w:val="22"/>
          <w:lang w:val="es-ES"/>
        </w:rPr>
        <w:t xml:space="preserve">con el solo propósito que aquel </w:t>
      </w:r>
      <w:r>
        <w:rPr>
          <w:rFonts w:ascii="Arial" w:hAnsi="Arial" w:cs="Arial"/>
          <w:sz w:val="22"/>
          <w:szCs w:val="22"/>
          <w:lang w:val="es-ES"/>
        </w:rPr>
        <w:t>no coincida con el día de feriado irrenunciable</w:t>
      </w:r>
      <w:r w:rsidR="00A53526">
        <w:rPr>
          <w:rFonts w:ascii="Arial" w:hAnsi="Arial" w:cs="Arial"/>
          <w:sz w:val="22"/>
          <w:szCs w:val="22"/>
          <w:lang w:val="es-ES"/>
        </w:rPr>
        <w:t xml:space="preserve"> registrado en esa misma semana</w:t>
      </w:r>
      <w:r>
        <w:rPr>
          <w:rFonts w:ascii="Arial" w:hAnsi="Arial" w:cs="Arial"/>
          <w:sz w:val="22"/>
          <w:szCs w:val="22"/>
          <w:lang w:val="es-ES"/>
        </w:rPr>
        <w:t>.</w:t>
      </w:r>
    </w:p>
    <w:p w14:paraId="466FCF44" w14:textId="77777777" w:rsidR="00651CC8" w:rsidRDefault="00A53526" w:rsidP="00DF22E5">
      <w:pPr>
        <w:spacing w:before="120" w:after="120"/>
        <w:ind w:firstLine="3686"/>
        <w:jc w:val="both"/>
        <w:rPr>
          <w:rFonts w:ascii="Arial" w:hAnsi="Arial" w:cs="Arial"/>
          <w:sz w:val="22"/>
          <w:szCs w:val="22"/>
          <w:lang w:val="es-ES"/>
        </w:rPr>
      </w:pPr>
      <w:r>
        <w:rPr>
          <w:rFonts w:ascii="Arial" w:hAnsi="Arial" w:cs="Arial"/>
          <w:sz w:val="22"/>
          <w:szCs w:val="22"/>
          <w:lang w:val="es-ES"/>
        </w:rPr>
        <w:t xml:space="preserve">Preciso </w:t>
      </w:r>
      <w:r w:rsidR="00651CC8">
        <w:rPr>
          <w:rFonts w:ascii="Arial" w:hAnsi="Arial" w:cs="Arial"/>
          <w:sz w:val="22"/>
          <w:szCs w:val="22"/>
          <w:lang w:val="es-ES"/>
        </w:rPr>
        <w:t>resulta considerar, que si bien</w:t>
      </w:r>
      <w:r>
        <w:rPr>
          <w:rFonts w:ascii="Arial" w:hAnsi="Arial" w:cs="Arial"/>
          <w:sz w:val="22"/>
          <w:szCs w:val="22"/>
          <w:lang w:val="es-ES"/>
        </w:rPr>
        <w:t xml:space="preserve"> las actividades de comercio puede</w:t>
      </w:r>
      <w:r w:rsidR="00651CC8">
        <w:rPr>
          <w:rFonts w:ascii="Arial" w:hAnsi="Arial" w:cs="Arial"/>
          <w:sz w:val="22"/>
          <w:szCs w:val="22"/>
          <w:lang w:val="es-ES"/>
        </w:rPr>
        <w:t>n</w:t>
      </w:r>
      <w:r>
        <w:rPr>
          <w:rFonts w:ascii="Arial" w:hAnsi="Arial" w:cs="Arial"/>
          <w:sz w:val="22"/>
          <w:szCs w:val="22"/>
          <w:lang w:val="es-ES"/>
        </w:rPr>
        <w:t xml:space="preserve"> ser desa</w:t>
      </w:r>
      <w:r w:rsidR="00651CC8">
        <w:rPr>
          <w:rFonts w:ascii="Arial" w:hAnsi="Arial" w:cs="Arial"/>
          <w:sz w:val="22"/>
          <w:szCs w:val="22"/>
          <w:lang w:val="es-ES"/>
        </w:rPr>
        <w:t>rrolladas en régimen de jornada</w:t>
      </w:r>
      <w:r>
        <w:rPr>
          <w:rFonts w:ascii="Arial" w:hAnsi="Arial" w:cs="Arial"/>
          <w:sz w:val="22"/>
          <w:szCs w:val="22"/>
          <w:lang w:val="es-ES"/>
        </w:rPr>
        <w:t xml:space="preserve"> cuya </w:t>
      </w:r>
      <w:r>
        <w:rPr>
          <w:rFonts w:ascii="Arial" w:hAnsi="Arial" w:cs="Arial"/>
          <w:sz w:val="22"/>
          <w:szCs w:val="22"/>
          <w:lang w:val="es-ES"/>
        </w:rPr>
        <w:lastRenderedPageBreak/>
        <w:t xml:space="preserve">distribución comprenda o no el día domingo, la referencia efectuada por el artículo 38 ter del Código del Trabajo, </w:t>
      </w:r>
      <w:r w:rsidR="00651CC8">
        <w:rPr>
          <w:rFonts w:ascii="Arial" w:hAnsi="Arial" w:cs="Arial"/>
          <w:sz w:val="22"/>
          <w:szCs w:val="22"/>
          <w:lang w:val="es-ES"/>
        </w:rPr>
        <w:t>exclusivamente a las actividades</w:t>
      </w:r>
      <w:r>
        <w:rPr>
          <w:rFonts w:ascii="Arial" w:hAnsi="Arial" w:cs="Arial"/>
          <w:sz w:val="22"/>
          <w:szCs w:val="22"/>
          <w:lang w:val="es-ES"/>
        </w:rPr>
        <w:t xml:space="preserve"> comprendidas en el artículo </w:t>
      </w:r>
      <w:r w:rsidR="00BF18D2">
        <w:rPr>
          <w:rFonts w:ascii="Arial" w:hAnsi="Arial" w:cs="Arial"/>
          <w:sz w:val="22"/>
          <w:szCs w:val="22"/>
          <w:lang w:val="es-ES"/>
        </w:rPr>
        <w:t xml:space="preserve">38 Nº 7 del </w:t>
      </w:r>
      <w:r>
        <w:rPr>
          <w:rFonts w:ascii="Arial" w:hAnsi="Arial" w:cs="Arial"/>
          <w:sz w:val="22"/>
          <w:szCs w:val="22"/>
          <w:lang w:val="es-ES"/>
        </w:rPr>
        <w:t>mismo código</w:t>
      </w:r>
      <w:r w:rsidR="001B18D7">
        <w:rPr>
          <w:rFonts w:ascii="Arial" w:hAnsi="Arial" w:cs="Arial"/>
          <w:sz w:val="22"/>
          <w:szCs w:val="22"/>
          <w:lang w:val="es-ES"/>
        </w:rPr>
        <w:t xml:space="preserve"> (en el contexto de actividades exceptuadas del descanso en día domingo)</w:t>
      </w:r>
      <w:r w:rsidR="00BF18D2">
        <w:rPr>
          <w:rFonts w:ascii="Arial" w:hAnsi="Arial" w:cs="Arial"/>
          <w:sz w:val="22"/>
          <w:szCs w:val="22"/>
          <w:lang w:val="es-ES"/>
        </w:rPr>
        <w:t xml:space="preserve">, </w:t>
      </w:r>
      <w:r w:rsidR="00651CC8">
        <w:rPr>
          <w:rFonts w:ascii="Arial" w:hAnsi="Arial" w:cs="Arial"/>
          <w:sz w:val="22"/>
          <w:szCs w:val="22"/>
          <w:lang w:val="es-ES"/>
        </w:rPr>
        <w:t xml:space="preserve">obliga a sostener que la prohibición contenida en aquella norma, solo se encuentra referida a </w:t>
      </w:r>
      <w:r w:rsidR="001B18D7">
        <w:rPr>
          <w:rFonts w:ascii="Arial" w:hAnsi="Arial" w:cs="Arial"/>
          <w:sz w:val="22"/>
          <w:szCs w:val="22"/>
          <w:lang w:val="es-ES"/>
        </w:rPr>
        <w:t>una</w:t>
      </w:r>
      <w:r w:rsidR="00651CC8">
        <w:rPr>
          <w:rFonts w:ascii="Arial" w:hAnsi="Arial" w:cs="Arial"/>
          <w:sz w:val="22"/>
          <w:szCs w:val="22"/>
          <w:lang w:val="es-ES"/>
        </w:rPr>
        <w:t xml:space="preserve"> circunstancia excepcional de desempeño en domingo, o más específicamente, en que la jornada semanal se encuentre distribuida en no menos de 5 ni más de 6 d</w:t>
      </w:r>
      <w:r w:rsidR="00424257">
        <w:rPr>
          <w:rFonts w:ascii="Arial" w:hAnsi="Arial" w:cs="Arial"/>
          <w:sz w:val="22"/>
          <w:szCs w:val="22"/>
          <w:lang w:val="es-ES"/>
        </w:rPr>
        <w:t>ías a la semana, y que comprenda</w:t>
      </w:r>
      <w:r w:rsidR="00651CC8">
        <w:rPr>
          <w:rFonts w:ascii="Arial" w:hAnsi="Arial" w:cs="Arial"/>
          <w:sz w:val="22"/>
          <w:szCs w:val="22"/>
          <w:lang w:val="es-ES"/>
        </w:rPr>
        <w:t xml:space="preserve"> al día domingo en la prestación efectiva de servicios.</w:t>
      </w:r>
    </w:p>
    <w:p w14:paraId="4A6F3BF8" w14:textId="77777777" w:rsidR="005A26BF" w:rsidRDefault="00424257" w:rsidP="00DF22E5">
      <w:pPr>
        <w:spacing w:before="120" w:after="120"/>
        <w:ind w:firstLine="3686"/>
        <w:jc w:val="both"/>
        <w:rPr>
          <w:rFonts w:ascii="Arial" w:hAnsi="Arial" w:cs="Arial"/>
          <w:sz w:val="22"/>
          <w:szCs w:val="22"/>
          <w:lang w:val="es-ES"/>
        </w:rPr>
      </w:pPr>
      <w:r>
        <w:rPr>
          <w:rFonts w:ascii="Arial" w:hAnsi="Arial" w:cs="Arial"/>
          <w:sz w:val="22"/>
          <w:szCs w:val="22"/>
          <w:lang w:val="es-ES"/>
        </w:rPr>
        <w:t>Por otra parte, tratándose de aquellos trabajadores excluidos de</w:t>
      </w:r>
      <w:r w:rsidR="00652A0B">
        <w:rPr>
          <w:rFonts w:ascii="Arial" w:hAnsi="Arial" w:cs="Arial"/>
          <w:sz w:val="22"/>
          <w:szCs w:val="22"/>
          <w:lang w:val="es-ES"/>
        </w:rPr>
        <w:t>l límite a la jornada semanal</w:t>
      </w:r>
      <w:r>
        <w:rPr>
          <w:rFonts w:ascii="Arial" w:hAnsi="Arial" w:cs="Arial"/>
          <w:sz w:val="22"/>
          <w:szCs w:val="22"/>
          <w:lang w:val="es-ES"/>
        </w:rPr>
        <w:t xml:space="preserve"> por aplicación de lo dispuesto en el artículo 22 inciso 2º del </w:t>
      </w:r>
      <w:r w:rsidR="00652A0B">
        <w:rPr>
          <w:rFonts w:ascii="Arial" w:hAnsi="Arial" w:cs="Arial"/>
          <w:sz w:val="22"/>
          <w:szCs w:val="22"/>
          <w:lang w:val="es-ES"/>
        </w:rPr>
        <w:t>Código del Trabajo, ca</w:t>
      </w:r>
      <w:r w:rsidR="0092004F">
        <w:rPr>
          <w:rFonts w:ascii="Arial" w:hAnsi="Arial" w:cs="Arial"/>
          <w:sz w:val="22"/>
          <w:szCs w:val="22"/>
          <w:lang w:val="es-ES"/>
        </w:rPr>
        <w:t xml:space="preserve">be considerar que la doctrina reiterada y uniforme de este Servicio, manifestada entre otros, en Dictamen Nº 4603/262 de 02.09.1999, ha precisado que </w:t>
      </w:r>
      <w:r w:rsidR="00184073" w:rsidRPr="00184073">
        <w:rPr>
          <w:rFonts w:ascii="Arial" w:hAnsi="Arial" w:cs="Arial"/>
          <w:i/>
          <w:sz w:val="22"/>
          <w:szCs w:val="22"/>
          <w:lang w:val="es-ES"/>
        </w:rPr>
        <w:t>“la circunstancia de encontrarse el trabajador exceptuado de la limitación de la jornada no puede significar que ésta se distribuya en más de seis ni en menos de cinco días</w:t>
      </w:r>
      <w:r w:rsidR="00184073">
        <w:rPr>
          <w:rFonts w:ascii="Arial" w:hAnsi="Arial" w:cs="Arial"/>
          <w:i/>
          <w:sz w:val="22"/>
          <w:szCs w:val="22"/>
          <w:lang w:val="es-ES"/>
        </w:rPr>
        <w:t>, salvo excepciones</w:t>
      </w:r>
      <w:r w:rsidR="005A26BF">
        <w:rPr>
          <w:rFonts w:ascii="Arial" w:hAnsi="Arial" w:cs="Arial"/>
          <w:i/>
          <w:sz w:val="22"/>
          <w:szCs w:val="22"/>
          <w:lang w:val="es-ES"/>
        </w:rPr>
        <w:t>…</w:t>
      </w:r>
      <w:r w:rsidR="00184073" w:rsidRPr="00184073">
        <w:rPr>
          <w:rFonts w:ascii="Arial" w:hAnsi="Arial" w:cs="Arial"/>
          <w:i/>
          <w:sz w:val="22"/>
          <w:szCs w:val="22"/>
          <w:lang w:val="es-ES"/>
        </w:rPr>
        <w:t>”</w:t>
      </w:r>
    </w:p>
    <w:p w14:paraId="285C71E3" w14:textId="77777777" w:rsidR="005A26BF" w:rsidRDefault="005A26BF" w:rsidP="00DF22E5">
      <w:pPr>
        <w:spacing w:before="120" w:after="120"/>
        <w:ind w:firstLine="3686"/>
        <w:jc w:val="both"/>
        <w:rPr>
          <w:rFonts w:ascii="Arial" w:hAnsi="Arial" w:cs="Arial"/>
          <w:sz w:val="22"/>
          <w:szCs w:val="22"/>
          <w:lang w:val="es-ES"/>
        </w:rPr>
      </w:pPr>
      <w:r>
        <w:rPr>
          <w:rFonts w:ascii="Arial" w:hAnsi="Arial" w:cs="Arial"/>
          <w:sz w:val="22"/>
          <w:szCs w:val="22"/>
          <w:lang w:val="es-ES"/>
        </w:rPr>
        <w:t>De este modo, aún cuando el trabajador se encuentre exceptuado de la limitación de jornada de trabajo, tendrá derecho a que su jornada no sea distribuida en más de seis días seguidos, teniendo derecho al séptimo día de descanso, es decir, a descanso a lo menos durante un día a la semana.</w:t>
      </w:r>
    </w:p>
    <w:p w14:paraId="7D89CE4E" w14:textId="77777777" w:rsidR="00E4423C" w:rsidRDefault="005A26BF" w:rsidP="005A26BF">
      <w:pPr>
        <w:spacing w:before="120" w:after="120"/>
        <w:ind w:firstLine="3686"/>
        <w:jc w:val="both"/>
        <w:rPr>
          <w:rFonts w:ascii="Arial" w:hAnsi="Arial" w:cs="Arial"/>
          <w:sz w:val="22"/>
          <w:szCs w:val="22"/>
          <w:lang w:val="es-ES"/>
        </w:rPr>
      </w:pPr>
      <w:r>
        <w:rPr>
          <w:rFonts w:ascii="Arial" w:hAnsi="Arial" w:cs="Arial"/>
          <w:sz w:val="22"/>
          <w:szCs w:val="22"/>
          <w:lang w:val="es-ES"/>
        </w:rPr>
        <w:t>Por lo que, concurriendo los demás requisitos legales, el trabajador contratado bajo el régimen contenido en el artículo 22 inciso 2º del Código del Trabajo, tiene derecho al descanso semanal y</w:t>
      </w:r>
      <w:r w:rsidR="00101122">
        <w:rPr>
          <w:rFonts w:ascii="Arial" w:hAnsi="Arial" w:cs="Arial"/>
          <w:sz w:val="22"/>
          <w:szCs w:val="22"/>
          <w:lang w:val="es-ES"/>
        </w:rPr>
        <w:t>,</w:t>
      </w:r>
      <w:r>
        <w:rPr>
          <w:rFonts w:ascii="Arial" w:hAnsi="Arial" w:cs="Arial"/>
          <w:sz w:val="22"/>
          <w:szCs w:val="22"/>
          <w:lang w:val="es-ES"/>
        </w:rPr>
        <w:t xml:space="preserve"> </w:t>
      </w:r>
      <w:r w:rsidR="00101122">
        <w:rPr>
          <w:rFonts w:ascii="Arial" w:hAnsi="Arial" w:cs="Arial"/>
          <w:sz w:val="22"/>
          <w:szCs w:val="22"/>
          <w:lang w:val="es-ES"/>
        </w:rPr>
        <w:t>consecuencialmente</w:t>
      </w:r>
      <w:r>
        <w:rPr>
          <w:rFonts w:ascii="Arial" w:hAnsi="Arial" w:cs="Arial"/>
          <w:sz w:val="22"/>
          <w:szCs w:val="22"/>
          <w:lang w:val="es-ES"/>
        </w:rPr>
        <w:t xml:space="preserve"> le resulta aplicable la prohibición contenida en el artículo 38 ter del Código del Trabajo</w:t>
      </w:r>
      <w:r w:rsidR="00101122">
        <w:rPr>
          <w:rFonts w:ascii="Arial" w:hAnsi="Arial" w:cs="Arial"/>
          <w:sz w:val="22"/>
          <w:szCs w:val="22"/>
          <w:lang w:val="es-ES"/>
        </w:rPr>
        <w:t>, en el sentido que dichos días de descanso no  podrán coincidir con aquellos declarados como irrenunciables</w:t>
      </w:r>
      <w:r>
        <w:rPr>
          <w:rFonts w:ascii="Arial" w:hAnsi="Arial" w:cs="Arial"/>
          <w:sz w:val="22"/>
          <w:szCs w:val="22"/>
          <w:lang w:val="es-ES"/>
        </w:rPr>
        <w:t>.</w:t>
      </w:r>
    </w:p>
    <w:p w14:paraId="2ABC730F" w14:textId="77777777" w:rsidR="005A26BF" w:rsidRDefault="00392542" w:rsidP="005A26BF">
      <w:pPr>
        <w:spacing w:before="120" w:after="120"/>
        <w:ind w:firstLine="3686"/>
        <w:jc w:val="both"/>
        <w:rPr>
          <w:rFonts w:ascii="Arial" w:hAnsi="Arial" w:cs="Arial"/>
          <w:sz w:val="22"/>
          <w:szCs w:val="22"/>
          <w:lang w:val="es-ES"/>
        </w:rPr>
      </w:pPr>
      <w:r>
        <w:rPr>
          <w:rFonts w:ascii="Arial" w:hAnsi="Arial" w:cs="Arial"/>
          <w:sz w:val="22"/>
          <w:szCs w:val="22"/>
          <w:lang w:val="es-ES"/>
        </w:rPr>
        <w:t>Con base en lo precedentemente informado, resulta posible otorgar respuesta a sus preguntas, en el siguiente sentido:</w:t>
      </w:r>
    </w:p>
    <w:p w14:paraId="1A96CF82" w14:textId="77777777" w:rsidR="00392542" w:rsidRDefault="00392542" w:rsidP="002F0672">
      <w:pPr>
        <w:spacing w:before="120" w:after="120"/>
        <w:ind w:firstLine="3686"/>
        <w:jc w:val="both"/>
        <w:rPr>
          <w:rFonts w:ascii="Arial" w:hAnsi="Arial" w:cs="Arial"/>
          <w:sz w:val="22"/>
          <w:szCs w:val="22"/>
          <w:lang w:val="es-ES"/>
        </w:rPr>
      </w:pPr>
      <w:r>
        <w:rPr>
          <w:rFonts w:ascii="Arial" w:hAnsi="Arial" w:cs="Arial"/>
          <w:sz w:val="22"/>
          <w:szCs w:val="22"/>
          <w:lang w:val="es-ES"/>
        </w:rPr>
        <w:t xml:space="preserve">1.- </w:t>
      </w:r>
      <w:r w:rsidR="002F0672">
        <w:rPr>
          <w:rFonts w:ascii="Arial" w:hAnsi="Arial" w:cs="Arial"/>
          <w:sz w:val="22"/>
          <w:szCs w:val="22"/>
          <w:lang w:val="es-ES"/>
        </w:rPr>
        <w:t xml:space="preserve">En cuanto a la pregunta Nº 1: </w:t>
      </w:r>
      <w:r>
        <w:rPr>
          <w:rFonts w:ascii="Arial" w:hAnsi="Arial" w:cs="Arial"/>
          <w:sz w:val="22"/>
          <w:szCs w:val="22"/>
          <w:lang w:val="es-ES"/>
        </w:rPr>
        <w:t xml:space="preserve">El empleador, con motivo de la entrada en vigencia de la Ley Nº 20.828, se encuentra </w:t>
      </w:r>
      <w:r w:rsidR="00A75DF7">
        <w:rPr>
          <w:rFonts w:ascii="Arial" w:hAnsi="Arial" w:cs="Arial"/>
          <w:sz w:val="22"/>
          <w:szCs w:val="22"/>
          <w:lang w:val="es-ES"/>
        </w:rPr>
        <w:t xml:space="preserve">facultado para </w:t>
      </w:r>
      <w:r>
        <w:rPr>
          <w:rFonts w:ascii="Arial" w:hAnsi="Arial" w:cs="Arial"/>
          <w:sz w:val="22"/>
          <w:szCs w:val="22"/>
          <w:lang w:val="es-ES"/>
        </w:rPr>
        <w:t xml:space="preserve">modificar </w:t>
      </w:r>
      <w:r w:rsidR="00A75DF7">
        <w:rPr>
          <w:rFonts w:ascii="Arial" w:hAnsi="Arial" w:cs="Arial"/>
          <w:sz w:val="22"/>
          <w:szCs w:val="22"/>
          <w:lang w:val="es-ES"/>
        </w:rPr>
        <w:t xml:space="preserve">unilateralmente </w:t>
      </w:r>
      <w:r>
        <w:rPr>
          <w:rFonts w:ascii="Arial" w:hAnsi="Arial" w:cs="Arial"/>
          <w:sz w:val="22"/>
          <w:szCs w:val="22"/>
          <w:lang w:val="es-ES"/>
        </w:rPr>
        <w:t>la malla de turnos o el sistema de jornada pactado, con el solo propósito que los días de descanso compensatorios, no coincidan con aquellos que la Ley Nº 19.973 declara como irrenunciables.</w:t>
      </w:r>
      <w:r w:rsidR="00A75DF7">
        <w:rPr>
          <w:rFonts w:ascii="Arial" w:hAnsi="Arial" w:cs="Arial"/>
          <w:sz w:val="22"/>
          <w:szCs w:val="22"/>
          <w:lang w:val="es-ES"/>
        </w:rPr>
        <w:t xml:space="preserve"> Estimándose que el ámbito de su facultad se refiere exclusivamente a cambiar el día de descanso por otro dentro de la misma semana.</w:t>
      </w:r>
    </w:p>
    <w:p w14:paraId="26A36587" w14:textId="77777777" w:rsidR="00392542" w:rsidRDefault="00392542" w:rsidP="00392542">
      <w:pPr>
        <w:spacing w:before="120" w:after="120"/>
        <w:ind w:firstLine="3686"/>
        <w:jc w:val="both"/>
        <w:rPr>
          <w:rFonts w:ascii="Arial" w:hAnsi="Arial" w:cs="Arial"/>
          <w:sz w:val="22"/>
          <w:szCs w:val="22"/>
          <w:lang w:val="es-ES"/>
        </w:rPr>
      </w:pPr>
      <w:r>
        <w:rPr>
          <w:rFonts w:ascii="Arial" w:hAnsi="Arial" w:cs="Arial"/>
          <w:sz w:val="22"/>
          <w:szCs w:val="22"/>
          <w:lang w:val="es-ES"/>
        </w:rPr>
        <w:t xml:space="preserve">Ahora bien, el inciso 5º del artículo 38 del Código del Trabajo, consagra en carácter de irrenunciable al menos 1 de los días </w:t>
      </w:r>
      <w:r w:rsidR="00684F0F">
        <w:rPr>
          <w:rFonts w:ascii="Arial" w:hAnsi="Arial" w:cs="Arial"/>
          <w:sz w:val="22"/>
          <w:szCs w:val="22"/>
          <w:lang w:val="es-ES"/>
        </w:rPr>
        <w:t xml:space="preserve">de descanso compensatorio </w:t>
      </w:r>
      <w:r>
        <w:rPr>
          <w:rFonts w:ascii="Arial" w:hAnsi="Arial" w:cs="Arial"/>
          <w:sz w:val="22"/>
          <w:szCs w:val="22"/>
          <w:lang w:val="es-ES"/>
        </w:rPr>
        <w:t xml:space="preserve">a que el trabajador tenía derecho en la semana, por lo que aquel necesariamente deberá otorgarse </w:t>
      </w:r>
      <w:r w:rsidR="002F0672">
        <w:rPr>
          <w:rFonts w:ascii="Arial" w:hAnsi="Arial" w:cs="Arial"/>
          <w:sz w:val="22"/>
          <w:szCs w:val="22"/>
          <w:lang w:val="es-ES"/>
        </w:rPr>
        <w:t>dentro de</w:t>
      </w:r>
      <w:r>
        <w:rPr>
          <w:rFonts w:ascii="Arial" w:hAnsi="Arial" w:cs="Arial"/>
          <w:sz w:val="22"/>
          <w:szCs w:val="22"/>
          <w:lang w:val="es-ES"/>
        </w:rPr>
        <w:t xml:space="preserve"> ese período de tiempo. </w:t>
      </w:r>
    </w:p>
    <w:p w14:paraId="657AA177" w14:textId="77777777" w:rsidR="00392542" w:rsidRDefault="00A75DF7" w:rsidP="002F0672">
      <w:pPr>
        <w:spacing w:before="120" w:after="120"/>
        <w:ind w:firstLine="3686"/>
        <w:jc w:val="both"/>
        <w:rPr>
          <w:rFonts w:ascii="Arial" w:hAnsi="Arial" w:cs="Arial"/>
          <w:sz w:val="22"/>
          <w:szCs w:val="22"/>
          <w:lang w:val="es-ES"/>
        </w:rPr>
      </w:pPr>
      <w:r>
        <w:rPr>
          <w:rFonts w:ascii="Arial" w:hAnsi="Arial" w:cs="Arial"/>
          <w:sz w:val="22"/>
          <w:szCs w:val="22"/>
          <w:lang w:val="es-ES"/>
        </w:rPr>
        <w:t xml:space="preserve">Sin perjuicio de lo anterior, respecto de aquellos días de descanso compensatorio semanal que superen a 1, las partes pueden pactar una forma especial </w:t>
      </w:r>
      <w:r w:rsidR="004E14F9">
        <w:rPr>
          <w:rFonts w:ascii="Arial" w:hAnsi="Arial" w:cs="Arial"/>
          <w:sz w:val="22"/>
          <w:szCs w:val="22"/>
          <w:lang w:val="es-ES"/>
        </w:rPr>
        <w:t xml:space="preserve">de </w:t>
      </w:r>
      <w:r w:rsidR="004E14F9" w:rsidRPr="004E14F9">
        <w:rPr>
          <w:rFonts w:ascii="Arial" w:hAnsi="Arial" w:cs="Arial"/>
          <w:sz w:val="22"/>
          <w:szCs w:val="22"/>
          <w:lang w:val="es-ES"/>
        </w:rPr>
        <w:t>distribución o de remuneración y que en caso de optar por esta última alternativa, la remuneración no</w:t>
      </w:r>
      <w:r w:rsidR="004E14F9">
        <w:rPr>
          <w:rFonts w:ascii="Arial" w:hAnsi="Arial" w:cs="Arial"/>
          <w:sz w:val="22"/>
          <w:szCs w:val="22"/>
          <w:lang w:val="es-ES"/>
        </w:rPr>
        <w:t xml:space="preserve"> </w:t>
      </w:r>
      <w:r w:rsidR="004E14F9" w:rsidRPr="004E14F9">
        <w:rPr>
          <w:rFonts w:ascii="Arial" w:hAnsi="Arial" w:cs="Arial"/>
          <w:sz w:val="22"/>
          <w:szCs w:val="22"/>
          <w:lang w:val="es-ES"/>
        </w:rPr>
        <w:t>puede ser inferior a la prevista en el artículo 32 del Código del Trabajo.</w:t>
      </w:r>
      <w:r w:rsidR="002604B2">
        <w:rPr>
          <w:rFonts w:ascii="Arial" w:hAnsi="Arial" w:cs="Arial"/>
          <w:sz w:val="22"/>
          <w:szCs w:val="22"/>
          <w:lang w:val="es-ES"/>
        </w:rPr>
        <w:t xml:space="preserve"> </w:t>
      </w:r>
    </w:p>
    <w:p w14:paraId="2C913FA1" w14:textId="77777777" w:rsidR="002F0672" w:rsidRDefault="00392542" w:rsidP="00392542">
      <w:pPr>
        <w:spacing w:before="120" w:after="120"/>
        <w:ind w:firstLine="3686"/>
        <w:jc w:val="both"/>
        <w:rPr>
          <w:rFonts w:ascii="Arial" w:hAnsi="Arial" w:cs="Arial"/>
          <w:sz w:val="22"/>
          <w:szCs w:val="22"/>
          <w:lang w:val="es-ES"/>
        </w:rPr>
      </w:pPr>
      <w:r>
        <w:rPr>
          <w:rFonts w:ascii="Arial" w:hAnsi="Arial" w:cs="Arial"/>
          <w:sz w:val="22"/>
          <w:szCs w:val="22"/>
          <w:lang w:val="es-ES"/>
        </w:rPr>
        <w:t xml:space="preserve">2.- </w:t>
      </w:r>
      <w:r w:rsidR="002F0672">
        <w:rPr>
          <w:rFonts w:ascii="Arial" w:hAnsi="Arial" w:cs="Arial"/>
          <w:sz w:val="22"/>
          <w:szCs w:val="22"/>
          <w:lang w:val="es-ES"/>
        </w:rPr>
        <w:t>En cuanto a la pregunta Nº 2. La prohibición contenida en el artículo 38 ter del Código del Trabajo, solo se aplica respecto de los trabajadores sujetos a un régimen excepcional de distribución de jornada, en que específicamente se co</w:t>
      </w:r>
      <w:r w:rsidR="008B2A84">
        <w:rPr>
          <w:rFonts w:ascii="Arial" w:hAnsi="Arial" w:cs="Arial"/>
          <w:sz w:val="22"/>
          <w:szCs w:val="22"/>
          <w:lang w:val="es-ES"/>
        </w:rPr>
        <w:t xml:space="preserve">mprenda el día domingo para la prestación de servicios. </w:t>
      </w:r>
    </w:p>
    <w:p w14:paraId="5B42BE75" w14:textId="77777777" w:rsidR="00E31E7E" w:rsidRDefault="008B2A84" w:rsidP="00E31E7E">
      <w:pPr>
        <w:spacing w:before="120" w:after="120"/>
        <w:ind w:firstLine="3686"/>
        <w:jc w:val="both"/>
        <w:rPr>
          <w:rFonts w:ascii="Arial" w:hAnsi="Arial" w:cs="Arial"/>
          <w:sz w:val="22"/>
          <w:szCs w:val="22"/>
          <w:lang w:val="es-ES"/>
        </w:rPr>
      </w:pPr>
      <w:r>
        <w:rPr>
          <w:rFonts w:ascii="Arial" w:hAnsi="Arial" w:cs="Arial"/>
          <w:sz w:val="22"/>
          <w:szCs w:val="22"/>
          <w:lang w:val="es-ES"/>
        </w:rPr>
        <w:t xml:space="preserve">En razón de lo anterior, tratándose de un trabajador cuyo sistema de distribución de jornada abarca de lunes a viernes o de lunes a sábado, </w:t>
      </w:r>
      <w:r w:rsidR="00E31E7E">
        <w:rPr>
          <w:rFonts w:ascii="Arial" w:hAnsi="Arial" w:cs="Arial"/>
          <w:sz w:val="22"/>
          <w:szCs w:val="22"/>
          <w:lang w:val="es-ES"/>
        </w:rPr>
        <w:t>no resulta aplicable lo dispuesto en el artículo 38 ter del Código del Trabajo, puesto que dicha prestación de servicios no se enmarca en el sistema de excepcionalidad reglamentado en el artículo 38 del mismo cuerpo normativo.</w:t>
      </w:r>
    </w:p>
    <w:p w14:paraId="2A916679" w14:textId="77777777" w:rsidR="005F48FE" w:rsidRDefault="00392542" w:rsidP="005F48FE">
      <w:pPr>
        <w:spacing w:before="120" w:after="120"/>
        <w:ind w:firstLine="3686"/>
        <w:jc w:val="both"/>
        <w:rPr>
          <w:rFonts w:ascii="Arial" w:hAnsi="Arial" w:cs="Arial"/>
          <w:sz w:val="22"/>
          <w:szCs w:val="22"/>
          <w:lang w:val="es-ES"/>
        </w:rPr>
      </w:pPr>
      <w:r>
        <w:rPr>
          <w:rFonts w:ascii="Arial" w:hAnsi="Arial" w:cs="Arial"/>
          <w:sz w:val="22"/>
          <w:szCs w:val="22"/>
          <w:lang w:val="es-ES"/>
        </w:rPr>
        <w:t xml:space="preserve">3.- </w:t>
      </w:r>
      <w:r w:rsidR="00E31E7E">
        <w:rPr>
          <w:rFonts w:ascii="Arial" w:hAnsi="Arial" w:cs="Arial"/>
          <w:sz w:val="22"/>
          <w:szCs w:val="22"/>
          <w:lang w:val="es-ES"/>
        </w:rPr>
        <w:t>Respecto a la pregunta Nº 3. Según se ha razonado, la circunstancia de encontrarse un trabajador exceptuado d</w:t>
      </w:r>
      <w:r w:rsidR="006F6C9F">
        <w:rPr>
          <w:rFonts w:ascii="Arial" w:hAnsi="Arial" w:cs="Arial"/>
          <w:sz w:val="22"/>
          <w:szCs w:val="22"/>
          <w:lang w:val="es-ES"/>
        </w:rPr>
        <w:t xml:space="preserve">e la limitación a su jornada laboral </w:t>
      </w:r>
      <w:r w:rsidR="00E31E7E">
        <w:rPr>
          <w:rFonts w:ascii="Arial" w:hAnsi="Arial" w:cs="Arial"/>
          <w:sz w:val="22"/>
          <w:szCs w:val="22"/>
          <w:lang w:val="es-ES"/>
        </w:rPr>
        <w:t>conforme a lo dispuesto en el artículo 22 inciso 2º del Código del Trabajo, no le priva del derecho a descanso semanal, por lo que en la medida que su sistema de distribución de jornada</w:t>
      </w:r>
      <w:r w:rsidR="006F6C9F">
        <w:rPr>
          <w:rFonts w:ascii="Arial" w:hAnsi="Arial" w:cs="Arial"/>
          <w:sz w:val="22"/>
          <w:szCs w:val="22"/>
          <w:lang w:val="es-ES"/>
        </w:rPr>
        <w:t xml:space="preserve"> comprenda el día domingo para la prestación de sus servicios, y concurriendo los demás requisitos legales, le resulta aplicable lo dispuesto en el artículo 38 ter.</w:t>
      </w:r>
    </w:p>
    <w:p w14:paraId="2714ECE0" w14:textId="77777777" w:rsidR="000E32A6" w:rsidRPr="000E32A6" w:rsidRDefault="00517B55" w:rsidP="005F48FE">
      <w:pPr>
        <w:spacing w:before="120" w:after="120"/>
        <w:ind w:firstLine="3686"/>
        <w:jc w:val="both"/>
        <w:rPr>
          <w:rFonts w:ascii="Arial" w:hAnsi="Arial" w:cs="Arial"/>
          <w:sz w:val="22"/>
          <w:szCs w:val="22"/>
          <w:lang w:val="es-ES"/>
        </w:rPr>
      </w:pPr>
      <w:r w:rsidRPr="000E32A6">
        <w:rPr>
          <w:rFonts w:ascii="Arial" w:hAnsi="Arial" w:cs="Arial"/>
          <w:sz w:val="22"/>
          <w:szCs w:val="22"/>
          <w:lang w:val="es-ES"/>
        </w:rPr>
        <w:lastRenderedPageBreak/>
        <w:t xml:space="preserve">En consecuencia, sobre la base de las disposiciones legales citadas, y consideraciones formuladas, cúmpleme informar a Ud. que </w:t>
      </w:r>
      <w:r w:rsidR="005F48FE">
        <w:rPr>
          <w:rFonts w:ascii="Arial" w:hAnsi="Arial" w:cs="Arial"/>
          <w:sz w:val="22"/>
          <w:szCs w:val="22"/>
          <w:lang w:val="es-ES"/>
        </w:rPr>
        <w:t xml:space="preserve">al tenor de su consulta, </w:t>
      </w:r>
      <w:r w:rsidRPr="000E32A6">
        <w:rPr>
          <w:rFonts w:ascii="Arial" w:hAnsi="Arial" w:cs="Arial"/>
          <w:sz w:val="22"/>
          <w:szCs w:val="22"/>
          <w:lang w:val="es-ES"/>
        </w:rPr>
        <w:t>el sentido y alcance de</w:t>
      </w:r>
      <w:r w:rsidR="00C82E59">
        <w:rPr>
          <w:rFonts w:ascii="Arial" w:hAnsi="Arial" w:cs="Arial"/>
          <w:sz w:val="22"/>
          <w:szCs w:val="22"/>
          <w:lang w:val="es-ES"/>
        </w:rPr>
        <w:t>l artícul</w:t>
      </w:r>
      <w:r w:rsidR="005F48FE">
        <w:rPr>
          <w:rFonts w:ascii="Arial" w:hAnsi="Arial" w:cs="Arial"/>
          <w:sz w:val="22"/>
          <w:szCs w:val="22"/>
          <w:lang w:val="es-ES"/>
        </w:rPr>
        <w:t>o 38 ter del Código del Trabajo</w:t>
      </w:r>
      <w:r w:rsidRPr="000E32A6">
        <w:rPr>
          <w:rFonts w:ascii="Arial" w:hAnsi="Arial" w:cs="Arial"/>
          <w:sz w:val="22"/>
          <w:szCs w:val="22"/>
          <w:lang w:val="es-ES"/>
        </w:rPr>
        <w:t xml:space="preserve">, </w:t>
      </w:r>
      <w:r w:rsidR="005F48FE">
        <w:rPr>
          <w:rFonts w:ascii="Arial" w:hAnsi="Arial" w:cs="Arial"/>
          <w:sz w:val="22"/>
          <w:szCs w:val="22"/>
          <w:lang w:val="es-ES"/>
        </w:rPr>
        <w:t>corresponde al</w:t>
      </w:r>
      <w:r w:rsidRPr="000E32A6">
        <w:rPr>
          <w:rFonts w:ascii="Arial" w:hAnsi="Arial" w:cs="Arial"/>
          <w:sz w:val="22"/>
          <w:szCs w:val="22"/>
          <w:lang w:val="es-ES"/>
        </w:rPr>
        <w:t xml:space="preserve"> que se contiene en el cuerpo del presente informe.</w:t>
      </w:r>
    </w:p>
    <w:p w14:paraId="68D01AB3" w14:textId="77777777" w:rsidR="006069B8" w:rsidRPr="000E32A6" w:rsidRDefault="00B92134" w:rsidP="000E32A6">
      <w:pPr>
        <w:spacing w:before="120" w:after="120"/>
        <w:ind w:firstLine="3686"/>
        <w:jc w:val="both"/>
        <w:rPr>
          <w:rFonts w:ascii="Arial" w:hAnsi="Arial" w:cs="Arial"/>
          <w:sz w:val="22"/>
          <w:szCs w:val="22"/>
          <w:lang w:val="es-ES"/>
        </w:rPr>
      </w:pPr>
      <w:r w:rsidRPr="000E32A6">
        <w:rPr>
          <w:rFonts w:ascii="Arial" w:hAnsi="Arial" w:cs="Arial"/>
          <w:sz w:val="22"/>
          <w:szCs w:val="22"/>
        </w:rPr>
        <w:t>Saluda a Ud.,</w:t>
      </w:r>
    </w:p>
    <w:p w14:paraId="129D3041" w14:textId="77777777" w:rsidR="006069B8" w:rsidRDefault="006069B8">
      <w:pPr>
        <w:jc w:val="both"/>
        <w:rPr>
          <w:rFonts w:ascii="Arial" w:hAnsi="Arial" w:cs="Arial"/>
          <w:sz w:val="22"/>
          <w:szCs w:val="22"/>
        </w:rPr>
      </w:pPr>
    </w:p>
    <w:p w14:paraId="32CABFDA" w14:textId="77777777" w:rsidR="00DE5570" w:rsidRDefault="00DE5570">
      <w:pPr>
        <w:jc w:val="both"/>
        <w:rPr>
          <w:rFonts w:ascii="Arial" w:hAnsi="Arial" w:cs="Arial"/>
          <w:sz w:val="22"/>
          <w:szCs w:val="22"/>
        </w:rPr>
      </w:pPr>
    </w:p>
    <w:p w14:paraId="272EED35" w14:textId="77777777" w:rsidR="00DE5570" w:rsidRDefault="00DE5570">
      <w:pPr>
        <w:jc w:val="both"/>
        <w:rPr>
          <w:rFonts w:ascii="Arial" w:hAnsi="Arial" w:cs="Arial"/>
          <w:sz w:val="22"/>
          <w:szCs w:val="22"/>
        </w:rPr>
      </w:pPr>
    </w:p>
    <w:p w14:paraId="4E4ECA04" w14:textId="77777777" w:rsidR="00DE5570" w:rsidRPr="000E32A6" w:rsidRDefault="00DE5570">
      <w:pPr>
        <w:jc w:val="both"/>
        <w:rPr>
          <w:rFonts w:ascii="Arial" w:hAnsi="Arial" w:cs="Arial"/>
          <w:sz w:val="22"/>
          <w:szCs w:val="22"/>
        </w:rPr>
      </w:pPr>
    </w:p>
    <w:p w14:paraId="3350DE51" w14:textId="77777777" w:rsidR="00517B55" w:rsidRPr="000E32A6" w:rsidRDefault="00517B55">
      <w:pPr>
        <w:jc w:val="both"/>
        <w:rPr>
          <w:rFonts w:ascii="Arial" w:hAnsi="Arial" w:cs="Arial"/>
          <w:sz w:val="22"/>
          <w:szCs w:val="22"/>
        </w:rPr>
      </w:pPr>
    </w:p>
    <w:p w14:paraId="406DA5D0" w14:textId="77777777" w:rsidR="006069B8" w:rsidRPr="000E32A6" w:rsidRDefault="006069B8">
      <w:pPr>
        <w:ind w:left="567"/>
        <w:jc w:val="both"/>
        <w:rPr>
          <w:rFonts w:ascii="Arial" w:hAnsi="Arial" w:cs="Arial"/>
          <w:sz w:val="22"/>
          <w:szCs w:val="22"/>
        </w:rPr>
      </w:pPr>
    </w:p>
    <w:p w14:paraId="497EF4FA" w14:textId="77777777" w:rsidR="006069B8" w:rsidRPr="000E32A6" w:rsidRDefault="005F48FE" w:rsidP="00B92134">
      <w:pPr>
        <w:jc w:val="center"/>
        <w:rPr>
          <w:rFonts w:ascii="Arial" w:hAnsi="Arial" w:cs="Arial"/>
          <w:sz w:val="22"/>
          <w:szCs w:val="22"/>
        </w:rPr>
      </w:pPr>
      <w:r>
        <w:rPr>
          <w:rFonts w:ascii="Arial" w:hAnsi="Arial" w:cs="Arial"/>
          <w:b/>
          <w:sz w:val="22"/>
          <w:szCs w:val="22"/>
        </w:rPr>
        <w:t xml:space="preserve">JOSÉ FRANCISCO CASTRO </w:t>
      </w:r>
      <w:proofErr w:type="spellStart"/>
      <w:r>
        <w:rPr>
          <w:rFonts w:ascii="Arial" w:hAnsi="Arial" w:cs="Arial"/>
          <w:b/>
          <w:sz w:val="22"/>
          <w:szCs w:val="22"/>
        </w:rPr>
        <w:t>CASTRO</w:t>
      </w:r>
      <w:proofErr w:type="spellEnd"/>
    </w:p>
    <w:p w14:paraId="2689018D" w14:textId="77777777" w:rsidR="006069B8" w:rsidRPr="000E32A6" w:rsidRDefault="00B92134" w:rsidP="00B92134">
      <w:pPr>
        <w:jc w:val="center"/>
        <w:rPr>
          <w:rFonts w:ascii="Arial" w:hAnsi="Arial" w:cs="Arial"/>
          <w:sz w:val="22"/>
          <w:szCs w:val="22"/>
        </w:rPr>
      </w:pPr>
      <w:r w:rsidRPr="000E32A6">
        <w:rPr>
          <w:rFonts w:ascii="Arial" w:hAnsi="Arial" w:cs="Arial"/>
          <w:b/>
          <w:sz w:val="22"/>
          <w:szCs w:val="22"/>
        </w:rPr>
        <w:t>ABOGADO</w:t>
      </w:r>
    </w:p>
    <w:p w14:paraId="710D32D2" w14:textId="31C87353" w:rsidR="006069B8" w:rsidRDefault="00DE5570" w:rsidP="00B92134">
      <w:pPr>
        <w:jc w:val="center"/>
        <w:rPr>
          <w:rFonts w:ascii="Arial" w:hAnsi="Arial" w:cs="Arial"/>
          <w:b/>
          <w:sz w:val="22"/>
          <w:szCs w:val="22"/>
        </w:rPr>
      </w:pPr>
      <w:r>
        <w:rPr>
          <w:rFonts w:ascii="Arial" w:hAnsi="Arial" w:cs="Arial"/>
          <w:b/>
          <w:sz w:val="22"/>
          <w:szCs w:val="22"/>
        </w:rPr>
        <w:t>JEFE DEPARTAMENTO JURÍDICO</w:t>
      </w:r>
    </w:p>
    <w:p w14:paraId="71FD17CF" w14:textId="5AE262E2" w:rsidR="00DE5570" w:rsidRPr="000E32A6" w:rsidRDefault="00DE5570" w:rsidP="00B92134">
      <w:pPr>
        <w:jc w:val="center"/>
        <w:rPr>
          <w:rFonts w:ascii="Arial" w:hAnsi="Arial" w:cs="Arial"/>
          <w:sz w:val="22"/>
          <w:szCs w:val="22"/>
        </w:rPr>
      </w:pPr>
      <w:r>
        <w:rPr>
          <w:rFonts w:ascii="Arial" w:hAnsi="Arial" w:cs="Arial"/>
          <w:b/>
          <w:sz w:val="22"/>
          <w:szCs w:val="22"/>
        </w:rPr>
        <w:t>DIRECCIÓN DEL TRABAJO</w:t>
      </w:r>
    </w:p>
    <w:p w14:paraId="22638FC3" w14:textId="77777777" w:rsidR="006069B8" w:rsidRPr="000E32A6" w:rsidRDefault="006069B8">
      <w:pPr>
        <w:ind w:left="1985"/>
        <w:jc w:val="center"/>
        <w:rPr>
          <w:rFonts w:ascii="Arial" w:hAnsi="Arial" w:cs="Arial"/>
          <w:sz w:val="22"/>
          <w:szCs w:val="22"/>
        </w:rPr>
      </w:pPr>
    </w:p>
    <w:p w14:paraId="608EEDDA" w14:textId="77777777" w:rsidR="006069B8" w:rsidRDefault="006069B8">
      <w:pPr>
        <w:jc w:val="both"/>
        <w:rPr>
          <w:rFonts w:ascii="Arial" w:hAnsi="Arial" w:cs="Arial"/>
          <w:sz w:val="22"/>
          <w:szCs w:val="22"/>
        </w:rPr>
      </w:pPr>
    </w:p>
    <w:p w14:paraId="66479F02" w14:textId="77777777" w:rsidR="004840ED" w:rsidRDefault="004840ED">
      <w:pPr>
        <w:jc w:val="both"/>
        <w:rPr>
          <w:rFonts w:ascii="Arial" w:hAnsi="Arial" w:cs="Arial"/>
          <w:sz w:val="22"/>
          <w:szCs w:val="22"/>
        </w:rPr>
      </w:pPr>
    </w:p>
    <w:p w14:paraId="64ABEF42" w14:textId="77777777" w:rsidR="004840ED" w:rsidRDefault="004840ED">
      <w:pPr>
        <w:jc w:val="both"/>
        <w:rPr>
          <w:rFonts w:ascii="Arial" w:hAnsi="Arial" w:cs="Arial"/>
          <w:sz w:val="22"/>
          <w:szCs w:val="22"/>
        </w:rPr>
      </w:pPr>
    </w:p>
    <w:p w14:paraId="652CE2D7" w14:textId="77777777" w:rsidR="004840ED" w:rsidRDefault="004840ED">
      <w:pPr>
        <w:jc w:val="both"/>
        <w:rPr>
          <w:rFonts w:ascii="Arial" w:hAnsi="Arial" w:cs="Arial"/>
          <w:sz w:val="22"/>
          <w:szCs w:val="22"/>
        </w:rPr>
      </w:pPr>
    </w:p>
    <w:p w14:paraId="3FA8EB65" w14:textId="77777777" w:rsidR="00DE5570" w:rsidRDefault="00DE5570">
      <w:pPr>
        <w:jc w:val="both"/>
        <w:rPr>
          <w:rFonts w:ascii="Arial" w:hAnsi="Arial" w:cs="Arial"/>
          <w:sz w:val="22"/>
          <w:szCs w:val="22"/>
        </w:rPr>
      </w:pPr>
    </w:p>
    <w:p w14:paraId="4E5B69C4" w14:textId="77777777" w:rsidR="00DE5570" w:rsidRDefault="00DE5570">
      <w:pPr>
        <w:jc w:val="both"/>
        <w:rPr>
          <w:rFonts w:ascii="Arial" w:hAnsi="Arial" w:cs="Arial"/>
          <w:sz w:val="22"/>
          <w:szCs w:val="22"/>
        </w:rPr>
      </w:pPr>
    </w:p>
    <w:p w14:paraId="23F56982" w14:textId="77777777" w:rsidR="00DE5570" w:rsidRDefault="00DE5570">
      <w:pPr>
        <w:jc w:val="both"/>
        <w:rPr>
          <w:rFonts w:ascii="Arial" w:hAnsi="Arial" w:cs="Arial"/>
          <w:sz w:val="22"/>
          <w:szCs w:val="22"/>
        </w:rPr>
      </w:pPr>
    </w:p>
    <w:p w14:paraId="18DD69E2" w14:textId="77777777" w:rsidR="00DE5570" w:rsidRDefault="00DE5570">
      <w:pPr>
        <w:jc w:val="both"/>
        <w:rPr>
          <w:rFonts w:ascii="Arial" w:hAnsi="Arial" w:cs="Arial"/>
          <w:sz w:val="22"/>
          <w:szCs w:val="22"/>
        </w:rPr>
      </w:pPr>
    </w:p>
    <w:p w14:paraId="0133CBC9" w14:textId="77777777" w:rsidR="00DE5570" w:rsidRDefault="00DE5570">
      <w:pPr>
        <w:jc w:val="both"/>
        <w:rPr>
          <w:rFonts w:ascii="Arial" w:hAnsi="Arial" w:cs="Arial"/>
          <w:sz w:val="22"/>
          <w:szCs w:val="22"/>
        </w:rPr>
      </w:pPr>
    </w:p>
    <w:p w14:paraId="3B1D98D7" w14:textId="77777777" w:rsidR="00DE5570" w:rsidRDefault="00DE5570">
      <w:pPr>
        <w:jc w:val="both"/>
        <w:rPr>
          <w:rFonts w:ascii="Arial" w:hAnsi="Arial" w:cs="Arial"/>
          <w:sz w:val="22"/>
          <w:szCs w:val="22"/>
        </w:rPr>
      </w:pPr>
    </w:p>
    <w:p w14:paraId="06074520" w14:textId="77777777" w:rsidR="004840ED" w:rsidRPr="000E32A6" w:rsidRDefault="004840ED">
      <w:pPr>
        <w:jc w:val="both"/>
        <w:rPr>
          <w:rFonts w:ascii="Arial" w:hAnsi="Arial" w:cs="Arial"/>
          <w:sz w:val="22"/>
          <w:szCs w:val="22"/>
        </w:rPr>
      </w:pPr>
    </w:p>
    <w:p w14:paraId="5FF38921" w14:textId="77777777" w:rsidR="00801286" w:rsidRPr="00927A49" w:rsidRDefault="005475E8">
      <w:pPr>
        <w:jc w:val="both"/>
        <w:rPr>
          <w:rFonts w:ascii="Arial" w:hAnsi="Arial" w:cs="Arial"/>
          <w:sz w:val="22"/>
          <w:szCs w:val="22"/>
        </w:rPr>
      </w:pPr>
      <w:r>
        <w:rPr>
          <w:rFonts w:ascii="Arial" w:hAnsi="Arial" w:cs="Arial"/>
          <w:b/>
          <w:sz w:val="22"/>
          <w:szCs w:val="22"/>
        </w:rPr>
        <w:t>LBP</w:t>
      </w:r>
      <w:r w:rsidR="003525E3">
        <w:rPr>
          <w:rFonts w:ascii="Arial" w:hAnsi="Arial" w:cs="Arial"/>
          <w:b/>
          <w:sz w:val="22"/>
          <w:szCs w:val="22"/>
        </w:rPr>
        <w:t>/</w:t>
      </w:r>
      <w:r w:rsidR="00331252" w:rsidRPr="000E32A6">
        <w:rPr>
          <w:rFonts w:ascii="Arial" w:hAnsi="Arial" w:cs="Arial"/>
          <w:b/>
          <w:sz w:val="22"/>
          <w:szCs w:val="22"/>
        </w:rPr>
        <w:t>PRC</w:t>
      </w:r>
    </w:p>
    <w:p w14:paraId="1CE0B326" w14:textId="77777777" w:rsidR="00801286" w:rsidRPr="00801286" w:rsidRDefault="00B92134">
      <w:pPr>
        <w:jc w:val="both"/>
        <w:rPr>
          <w:rFonts w:ascii="Arial" w:hAnsi="Arial" w:cs="Arial"/>
          <w:b/>
          <w:sz w:val="22"/>
          <w:szCs w:val="22"/>
          <w:u w:val="single"/>
        </w:rPr>
      </w:pPr>
      <w:r w:rsidRPr="003525E3">
        <w:rPr>
          <w:rFonts w:ascii="Arial" w:hAnsi="Arial" w:cs="Arial"/>
          <w:b/>
          <w:sz w:val="22"/>
          <w:szCs w:val="22"/>
          <w:u w:val="single"/>
        </w:rPr>
        <w:t>Distribución:</w:t>
      </w:r>
    </w:p>
    <w:p w14:paraId="4E3406A5" w14:textId="77777777" w:rsidR="006069B8" w:rsidRPr="000E32A6" w:rsidRDefault="00B92134">
      <w:pPr>
        <w:jc w:val="both"/>
        <w:rPr>
          <w:rFonts w:ascii="Arial" w:hAnsi="Arial" w:cs="Arial"/>
          <w:sz w:val="22"/>
          <w:szCs w:val="22"/>
        </w:rPr>
      </w:pPr>
      <w:r w:rsidRPr="000E32A6">
        <w:rPr>
          <w:rFonts w:ascii="Arial" w:hAnsi="Arial" w:cs="Arial"/>
          <w:sz w:val="22"/>
          <w:szCs w:val="22"/>
        </w:rPr>
        <w:t>-Jurídico</w:t>
      </w:r>
    </w:p>
    <w:p w14:paraId="4C2F7E15" w14:textId="77777777" w:rsidR="006069B8" w:rsidRPr="000E32A6" w:rsidRDefault="00B92134">
      <w:pPr>
        <w:jc w:val="both"/>
        <w:rPr>
          <w:rFonts w:ascii="Arial" w:hAnsi="Arial" w:cs="Arial"/>
          <w:sz w:val="22"/>
          <w:szCs w:val="22"/>
        </w:rPr>
      </w:pPr>
      <w:r w:rsidRPr="000E32A6">
        <w:rPr>
          <w:rFonts w:ascii="Arial" w:hAnsi="Arial" w:cs="Arial"/>
          <w:sz w:val="22"/>
          <w:szCs w:val="22"/>
        </w:rPr>
        <w:t>-Partes</w:t>
      </w:r>
    </w:p>
    <w:p w14:paraId="5504D79A" w14:textId="77777777" w:rsidR="005D41CD" w:rsidRPr="000E32A6" w:rsidRDefault="00B92134">
      <w:pPr>
        <w:jc w:val="both"/>
        <w:rPr>
          <w:rFonts w:ascii="Arial" w:hAnsi="Arial" w:cs="Arial"/>
          <w:b/>
          <w:sz w:val="22"/>
          <w:szCs w:val="22"/>
        </w:rPr>
      </w:pPr>
      <w:r w:rsidRPr="000E32A6">
        <w:rPr>
          <w:rFonts w:ascii="Arial" w:hAnsi="Arial" w:cs="Arial"/>
          <w:sz w:val="22"/>
          <w:szCs w:val="22"/>
        </w:rPr>
        <w:t>-Control</w:t>
      </w:r>
      <w:r w:rsidRPr="000E32A6">
        <w:rPr>
          <w:rFonts w:ascii="Arial" w:hAnsi="Arial" w:cs="Arial"/>
          <w:b/>
          <w:sz w:val="22"/>
          <w:szCs w:val="22"/>
        </w:rPr>
        <w:t xml:space="preserve"> </w:t>
      </w:r>
    </w:p>
    <w:sectPr w:rsidR="005D41CD" w:rsidRPr="000E32A6" w:rsidSect="00DE5570">
      <w:headerReference w:type="even" r:id="rId12"/>
      <w:headerReference w:type="default" r:id="rId13"/>
      <w:pgSz w:w="12240" w:h="18720"/>
      <w:pgMar w:top="1560" w:right="1701" w:bottom="1276" w:left="1701"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5DFA4" w14:textId="77777777" w:rsidR="00DE5570" w:rsidRDefault="00DE5570" w:rsidP="00E40637">
      <w:r>
        <w:separator/>
      </w:r>
    </w:p>
  </w:endnote>
  <w:endnote w:type="continuationSeparator" w:id="0">
    <w:p w14:paraId="3AA14B52" w14:textId="77777777" w:rsidR="00DE5570" w:rsidRDefault="00DE5570" w:rsidP="00E4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6A804" w14:textId="77777777" w:rsidR="00DE5570" w:rsidRDefault="00DE5570" w:rsidP="00E40637">
      <w:r>
        <w:separator/>
      </w:r>
    </w:p>
  </w:footnote>
  <w:footnote w:type="continuationSeparator" w:id="0">
    <w:p w14:paraId="34062475" w14:textId="77777777" w:rsidR="00DE5570" w:rsidRDefault="00DE5570" w:rsidP="00E406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F2479" w14:textId="77777777" w:rsidR="00DE5570" w:rsidRDefault="00DE5570" w:rsidP="00E4063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0716D6" w14:textId="77777777" w:rsidR="00DE5570" w:rsidRDefault="00DE5570">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871C5" w14:textId="77777777" w:rsidR="00DE5570" w:rsidRDefault="00DE5570" w:rsidP="00E4063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5B0A">
      <w:rPr>
        <w:rStyle w:val="Nmerodepgina"/>
        <w:noProof/>
      </w:rPr>
      <w:t>2</w:t>
    </w:r>
    <w:r>
      <w:rPr>
        <w:rStyle w:val="Nmerodepgina"/>
      </w:rPr>
      <w:fldChar w:fldCharType="end"/>
    </w:r>
  </w:p>
  <w:p w14:paraId="14D15DA6" w14:textId="77777777" w:rsidR="00DE5570" w:rsidRDefault="00DE5570">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161AF"/>
    <w:multiLevelType w:val="hybridMultilevel"/>
    <w:tmpl w:val="06AEA26C"/>
    <w:lvl w:ilvl="0" w:tplc="39280A3C">
      <w:start w:val="1"/>
      <w:numFmt w:val="bullet"/>
      <w:lvlText w:val="-"/>
      <w:lvlJc w:val="left"/>
      <w:pPr>
        <w:ind w:left="1367" w:hanging="800"/>
      </w:pPr>
      <w:rPr>
        <w:rFonts w:ascii="Calibri" w:eastAsiaTheme="minorEastAsia" w:hAnsi="Calibri" w:cs="Calibri"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E8"/>
    <w:rsid w:val="00001D37"/>
    <w:rsid w:val="00041519"/>
    <w:rsid w:val="00051346"/>
    <w:rsid w:val="000909E9"/>
    <w:rsid w:val="000A00E4"/>
    <w:rsid w:val="000E32A6"/>
    <w:rsid w:val="00101122"/>
    <w:rsid w:val="00102595"/>
    <w:rsid w:val="00104D36"/>
    <w:rsid w:val="00105FDA"/>
    <w:rsid w:val="00115CB1"/>
    <w:rsid w:val="00144082"/>
    <w:rsid w:val="00153F92"/>
    <w:rsid w:val="00163CB6"/>
    <w:rsid w:val="0017498A"/>
    <w:rsid w:val="00184073"/>
    <w:rsid w:val="0019338C"/>
    <w:rsid w:val="0019528C"/>
    <w:rsid w:val="001B18D7"/>
    <w:rsid w:val="001C0AD6"/>
    <w:rsid w:val="001C40D7"/>
    <w:rsid w:val="002142BB"/>
    <w:rsid w:val="00216227"/>
    <w:rsid w:val="002604B2"/>
    <w:rsid w:val="002E4325"/>
    <w:rsid w:val="002E64A5"/>
    <w:rsid w:val="002F0672"/>
    <w:rsid w:val="0030026E"/>
    <w:rsid w:val="003223BB"/>
    <w:rsid w:val="00331252"/>
    <w:rsid w:val="003525E3"/>
    <w:rsid w:val="0037641E"/>
    <w:rsid w:val="00392542"/>
    <w:rsid w:val="0039543F"/>
    <w:rsid w:val="003B2FE3"/>
    <w:rsid w:val="003D4CEE"/>
    <w:rsid w:val="004106AD"/>
    <w:rsid w:val="00424257"/>
    <w:rsid w:val="00443C19"/>
    <w:rsid w:val="004840ED"/>
    <w:rsid w:val="004E14F9"/>
    <w:rsid w:val="004E32F2"/>
    <w:rsid w:val="004E3C83"/>
    <w:rsid w:val="00507EAA"/>
    <w:rsid w:val="00517B55"/>
    <w:rsid w:val="00526BD5"/>
    <w:rsid w:val="00526D45"/>
    <w:rsid w:val="005475E8"/>
    <w:rsid w:val="00584B66"/>
    <w:rsid w:val="005A26BF"/>
    <w:rsid w:val="005B20F1"/>
    <w:rsid w:val="005D41CD"/>
    <w:rsid w:val="005F222A"/>
    <w:rsid w:val="005F3031"/>
    <w:rsid w:val="005F48FE"/>
    <w:rsid w:val="005F4C38"/>
    <w:rsid w:val="0060154F"/>
    <w:rsid w:val="006069B8"/>
    <w:rsid w:val="00607C2D"/>
    <w:rsid w:val="00651CC8"/>
    <w:rsid w:val="00652A0B"/>
    <w:rsid w:val="0065503B"/>
    <w:rsid w:val="006747CD"/>
    <w:rsid w:val="006810A5"/>
    <w:rsid w:val="00684F0F"/>
    <w:rsid w:val="006C3465"/>
    <w:rsid w:val="006F52E9"/>
    <w:rsid w:val="006F6BBF"/>
    <w:rsid w:val="006F6C9F"/>
    <w:rsid w:val="0074258C"/>
    <w:rsid w:val="007773CA"/>
    <w:rsid w:val="00782F25"/>
    <w:rsid w:val="007878A6"/>
    <w:rsid w:val="00795073"/>
    <w:rsid w:val="007A4D32"/>
    <w:rsid w:val="00801286"/>
    <w:rsid w:val="00802B18"/>
    <w:rsid w:val="00835728"/>
    <w:rsid w:val="0087014C"/>
    <w:rsid w:val="0087545C"/>
    <w:rsid w:val="008826A9"/>
    <w:rsid w:val="00884E92"/>
    <w:rsid w:val="008B2A84"/>
    <w:rsid w:val="009033BA"/>
    <w:rsid w:val="00905EF7"/>
    <w:rsid w:val="0092004F"/>
    <w:rsid w:val="0092528F"/>
    <w:rsid w:val="00927A49"/>
    <w:rsid w:val="009B0C21"/>
    <w:rsid w:val="00A0274C"/>
    <w:rsid w:val="00A53526"/>
    <w:rsid w:val="00A55DFF"/>
    <w:rsid w:val="00A75DF7"/>
    <w:rsid w:val="00AA4682"/>
    <w:rsid w:val="00AB2A74"/>
    <w:rsid w:val="00AC6596"/>
    <w:rsid w:val="00AE0E48"/>
    <w:rsid w:val="00B26A45"/>
    <w:rsid w:val="00B3538D"/>
    <w:rsid w:val="00B35D0C"/>
    <w:rsid w:val="00B372C7"/>
    <w:rsid w:val="00B66B21"/>
    <w:rsid w:val="00B92134"/>
    <w:rsid w:val="00BC72DF"/>
    <w:rsid w:val="00BF18D2"/>
    <w:rsid w:val="00C244B8"/>
    <w:rsid w:val="00C41AC2"/>
    <w:rsid w:val="00C82E59"/>
    <w:rsid w:val="00C948C7"/>
    <w:rsid w:val="00CD2A91"/>
    <w:rsid w:val="00CF170B"/>
    <w:rsid w:val="00CF60F8"/>
    <w:rsid w:val="00D02459"/>
    <w:rsid w:val="00D20599"/>
    <w:rsid w:val="00D25B0A"/>
    <w:rsid w:val="00D5622A"/>
    <w:rsid w:val="00D5798B"/>
    <w:rsid w:val="00D75140"/>
    <w:rsid w:val="00DD0965"/>
    <w:rsid w:val="00DE5570"/>
    <w:rsid w:val="00DF22E5"/>
    <w:rsid w:val="00E31E7E"/>
    <w:rsid w:val="00E40637"/>
    <w:rsid w:val="00E4423C"/>
    <w:rsid w:val="00E52B67"/>
    <w:rsid w:val="00E531CB"/>
    <w:rsid w:val="00E61C38"/>
    <w:rsid w:val="00EA2021"/>
    <w:rsid w:val="00EA4B46"/>
    <w:rsid w:val="00EC1062"/>
    <w:rsid w:val="00EC6B27"/>
    <w:rsid w:val="00EC7903"/>
    <w:rsid w:val="00EF243D"/>
    <w:rsid w:val="00EF745B"/>
    <w:rsid w:val="00F1015F"/>
    <w:rsid w:val="00F13C76"/>
    <w:rsid w:val="00F16E21"/>
    <w:rsid w:val="00F24859"/>
    <w:rsid w:val="00F35C47"/>
    <w:rsid w:val="00F4295A"/>
    <w:rsid w:val="00F576D4"/>
    <w:rsid w:val="00F61A52"/>
    <w:rsid w:val="00F8353B"/>
    <w:rsid w:val="00F8712D"/>
    <w:rsid w:val="00FB306E"/>
    <w:rsid w:val="00FE2641"/>
    <w:rsid w:val="00FE41D4"/>
    <w:rsid w:val="00FF35E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74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213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92134"/>
    <w:rPr>
      <w:rFonts w:ascii="Lucida Grande" w:hAnsi="Lucida Grande" w:cs="Lucida Grande"/>
      <w:sz w:val="18"/>
      <w:szCs w:val="18"/>
    </w:rPr>
  </w:style>
  <w:style w:type="paragraph" w:styleId="Encabezado">
    <w:name w:val="header"/>
    <w:basedOn w:val="Normal"/>
    <w:link w:val="EncabezadoCar"/>
    <w:uiPriority w:val="99"/>
    <w:unhideWhenUsed/>
    <w:rsid w:val="00E40637"/>
    <w:pPr>
      <w:tabs>
        <w:tab w:val="center" w:pos="4252"/>
        <w:tab w:val="right" w:pos="8504"/>
      </w:tabs>
    </w:pPr>
  </w:style>
  <w:style w:type="character" w:customStyle="1" w:styleId="EncabezadoCar">
    <w:name w:val="Encabezado Car"/>
    <w:basedOn w:val="Fuentedeprrafopredeter"/>
    <w:link w:val="Encabezado"/>
    <w:uiPriority w:val="99"/>
    <w:rsid w:val="00E40637"/>
  </w:style>
  <w:style w:type="character" w:styleId="Nmerodepgina">
    <w:name w:val="page number"/>
    <w:basedOn w:val="Fuentedeprrafopredeter"/>
    <w:uiPriority w:val="99"/>
    <w:semiHidden/>
    <w:unhideWhenUsed/>
    <w:rsid w:val="00E40637"/>
  </w:style>
  <w:style w:type="paragraph" w:styleId="Prrafodelista">
    <w:name w:val="List Paragraph"/>
    <w:basedOn w:val="Normal"/>
    <w:uiPriority w:val="34"/>
    <w:qFormat/>
    <w:rsid w:val="003B2FE3"/>
    <w:pPr>
      <w:ind w:left="720"/>
      <w:contextualSpacing/>
    </w:pPr>
  </w:style>
  <w:style w:type="table" w:styleId="Tablaconcuadrcula">
    <w:name w:val="Table Grid"/>
    <w:basedOn w:val="Tablanormal"/>
    <w:uiPriority w:val="59"/>
    <w:rsid w:val="000E3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213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92134"/>
    <w:rPr>
      <w:rFonts w:ascii="Lucida Grande" w:hAnsi="Lucida Grande" w:cs="Lucida Grande"/>
      <w:sz w:val="18"/>
      <w:szCs w:val="18"/>
    </w:rPr>
  </w:style>
  <w:style w:type="paragraph" w:styleId="Encabezado">
    <w:name w:val="header"/>
    <w:basedOn w:val="Normal"/>
    <w:link w:val="EncabezadoCar"/>
    <w:uiPriority w:val="99"/>
    <w:unhideWhenUsed/>
    <w:rsid w:val="00E40637"/>
    <w:pPr>
      <w:tabs>
        <w:tab w:val="center" w:pos="4252"/>
        <w:tab w:val="right" w:pos="8504"/>
      </w:tabs>
    </w:pPr>
  </w:style>
  <w:style w:type="character" w:customStyle="1" w:styleId="EncabezadoCar">
    <w:name w:val="Encabezado Car"/>
    <w:basedOn w:val="Fuentedeprrafopredeter"/>
    <w:link w:val="Encabezado"/>
    <w:uiPriority w:val="99"/>
    <w:rsid w:val="00E40637"/>
  </w:style>
  <w:style w:type="character" w:styleId="Nmerodepgina">
    <w:name w:val="page number"/>
    <w:basedOn w:val="Fuentedeprrafopredeter"/>
    <w:uiPriority w:val="99"/>
    <w:semiHidden/>
    <w:unhideWhenUsed/>
    <w:rsid w:val="00E40637"/>
  </w:style>
  <w:style w:type="paragraph" w:styleId="Prrafodelista">
    <w:name w:val="List Paragraph"/>
    <w:basedOn w:val="Normal"/>
    <w:uiPriority w:val="34"/>
    <w:qFormat/>
    <w:rsid w:val="003B2FE3"/>
    <w:pPr>
      <w:ind w:left="720"/>
      <w:contextualSpacing/>
    </w:pPr>
  </w:style>
  <w:style w:type="table" w:styleId="Tablaconcuadrcula">
    <w:name w:val="Table Grid"/>
    <w:basedOn w:val="Tablanormal"/>
    <w:uiPriority w:val="59"/>
    <w:rsid w:val="000E3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11160">
      <w:bodyDiv w:val="1"/>
      <w:marLeft w:val="0"/>
      <w:marRight w:val="0"/>
      <w:marTop w:val="0"/>
      <w:marBottom w:val="0"/>
      <w:divBdr>
        <w:top w:val="none" w:sz="0" w:space="0" w:color="auto"/>
        <w:left w:val="none" w:sz="0" w:space="0" w:color="auto"/>
        <w:bottom w:val="none" w:sz="0" w:space="0" w:color="auto"/>
        <w:right w:val="none" w:sz="0" w:space="0" w:color="auto"/>
      </w:divBdr>
      <w:divsChild>
        <w:div w:id="24322417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20HD:Pablo:Library:Application%20Support:Microsoft:Office:Plantillas%20personales:Mis%20plantillas:Dictamen%202015.dotx"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CocoaOOXMLWriter/1265.2</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A8B22-7173-3046-8B39-943CF0D0575A}">
  <ds:schemaRefs>
    <ds:schemaRef ds:uri="http://schemas.apple.com/cocoa/2006/metadata"/>
  </ds:schemaRefs>
</ds:datastoreItem>
</file>

<file path=customXml/itemProps2.xml><?xml version="1.0" encoding="utf-8"?>
<ds:datastoreItem xmlns:ds="http://schemas.openxmlformats.org/officeDocument/2006/customXml" ds:itemID="{6F78C846-1248-9E4B-90B5-6A0704E3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Dictamen 2015.dotx</Template>
  <TotalTime>237</TotalTime>
  <Pages>4</Pages>
  <Words>1516</Words>
  <Characters>8338</Characters>
  <Application>Microsoft Macintosh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Credito Caja de Compensación</vt:lpstr>
    </vt:vector>
  </TitlesOfParts>
  <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Credito Caja de Compensación</dc:title>
  <dc:creator>Pablo  Reyes</dc:creator>
  <cp:lastModifiedBy>Pablo  Reyes</cp:lastModifiedBy>
  <cp:revision>6</cp:revision>
  <cp:lastPrinted>2015-09-15T20:34:00Z</cp:lastPrinted>
  <dcterms:created xsi:type="dcterms:W3CDTF">2015-09-11T19:10:00Z</dcterms:created>
  <dcterms:modified xsi:type="dcterms:W3CDTF">2015-09-16T19:12:00Z</dcterms:modified>
</cp:coreProperties>
</file>