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6F" w:rsidRDefault="00D1436F" w:rsidP="00D1436F">
      <w:pPr>
        <w:ind w:left="-851"/>
        <w:jc w:val="both"/>
        <w:rPr>
          <w:sz w:val="16"/>
        </w:rPr>
      </w:pPr>
      <w:r>
        <w:rPr>
          <w:noProof/>
          <w:sz w:val="16"/>
          <w:lang w:val="es-CL" w:eastAsia="es-CL"/>
        </w:rPr>
        <w:t xml:space="preserve">      </w:t>
      </w:r>
      <w:r w:rsidR="00860705" w:rsidRPr="00860705">
        <w:rPr>
          <w:noProof/>
          <w:sz w:val="16"/>
          <w:lang w:val="es-CL"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2.6pt;height:99.7pt">
            <v:imagedata r:id="rId7" o:title=""/>
          </v:shape>
        </w:pict>
      </w:r>
    </w:p>
    <w:p w:rsidR="00D1436F" w:rsidRDefault="00D1436F" w:rsidP="00D1436F">
      <w:pPr>
        <w:ind w:left="-851"/>
        <w:jc w:val="both"/>
        <w:rPr>
          <w:sz w:val="16"/>
        </w:rPr>
      </w:pPr>
      <w:r>
        <w:rPr>
          <w:sz w:val="16"/>
        </w:rPr>
        <w:t xml:space="preserve">       DIRECCION DEL TRABAJO</w:t>
      </w:r>
    </w:p>
    <w:p w:rsidR="00D1436F" w:rsidRDefault="00D1436F" w:rsidP="00D1436F">
      <w:pPr>
        <w:ind w:left="-851"/>
        <w:jc w:val="both"/>
        <w:rPr>
          <w:sz w:val="16"/>
        </w:rPr>
      </w:pPr>
      <w:r>
        <w:rPr>
          <w:sz w:val="16"/>
        </w:rPr>
        <w:t xml:space="preserve">      DEPARTAMENTO JURIDICO</w:t>
      </w:r>
    </w:p>
    <w:p w:rsidR="00D1436F" w:rsidRDefault="00860705" w:rsidP="00D1436F">
      <w:pPr>
        <w:pStyle w:val="Ttulo1"/>
      </w:pPr>
      <w:r w:rsidRPr="00860705">
        <w:rPr>
          <w:noProof/>
        </w:rPr>
        <w:pict>
          <v:line id="_x0000_s1027" style="position:absolute;flip:y;z-index:251661312" from="339.75pt,5.6pt" to="346.95pt,20pt" o:allowincell="f"/>
        </w:pict>
      </w:r>
      <w:r w:rsidR="00D1436F">
        <w:t xml:space="preserve">sin K (1801)2011 </w:t>
      </w:r>
    </w:p>
    <w:p w:rsidR="00D1436F" w:rsidRDefault="00860705" w:rsidP="00D1436F">
      <w:pPr>
        <w:tabs>
          <w:tab w:val="left" w:pos="-426"/>
          <w:tab w:val="left" w:pos="3119"/>
        </w:tabs>
        <w:ind w:left="4253" w:hanging="4253"/>
        <w:jc w:val="both"/>
        <w:rPr>
          <w:rFonts w:ascii="Arial" w:hAnsi="Arial"/>
          <w:b/>
          <w:sz w:val="24"/>
        </w:rPr>
      </w:pPr>
      <w:r w:rsidRPr="00860705">
        <w:rPr>
          <w:rFonts w:ascii="Arial" w:hAnsi="Arial"/>
          <w:noProof/>
          <w:sz w:val="24"/>
        </w:rPr>
        <w:pict>
          <v:line id="_x0000_s1026" style="position:absolute;left:0;text-align:left;z-index:251660288" from="210.15pt,10.85pt" to="339.75pt,10.85pt" o:allowincell="f"/>
        </w:pict>
      </w:r>
      <w:r w:rsidR="00D1436F">
        <w:rPr>
          <w:rFonts w:ascii="Arial" w:hAnsi="Arial"/>
          <w:sz w:val="24"/>
        </w:rPr>
        <w:tab/>
      </w:r>
      <w:r w:rsidR="00EE06E8" w:rsidRPr="00EE06E8">
        <w:rPr>
          <w:rFonts w:ascii="Arial" w:hAnsi="Arial"/>
          <w:b/>
          <w:sz w:val="24"/>
        </w:rPr>
        <w:t>ORD.</w:t>
      </w:r>
      <w:r w:rsidR="00EE06E8">
        <w:rPr>
          <w:rFonts w:ascii="Arial" w:hAnsi="Arial"/>
          <w:sz w:val="24"/>
        </w:rPr>
        <w:t xml:space="preserve"> </w:t>
      </w:r>
      <w:r w:rsidR="00D1436F">
        <w:rPr>
          <w:rFonts w:ascii="Arial" w:hAnsi="Arial"/>
          <w:b/>
          <w:sz w:val="24"/>
        </w:rPr>
        <w:t>N°</w:t>
      </w:r>
      <w:r w:rsidR="00D1436F">
        <w:rPr>
          <w:rFonts w:ascii="Arial" w:hAnsi="Arial"/>
          <w:b/>
          <w:sz w:val="24"/>
        </w:rPr>
        <w:tab/>
        <w:t xml:space="preserve"> </w:t>
      </w:r>
      <w:r w:rsidR="00D61563">
        <w:rPr>
          <w:rFonts w:ascii="Arial" w:hAnsi="Arial"/>
          <w:b/>
          <w:sz w:val="24"/>
        </w:rPr>
        <w:t xml:space="preserve">  </w:t>
      </w:r>
      <w:r w:rsidR="00370A44">
        <w:rPr>
          <w:rFonts w:ascii="Arial" w:hAnsi="Arial"/>
          <w:b/>
          <w:sz w:val="24"/>
        </w:rPr>
        <w:t>0100</w:t>
      </w:r>
      <w:r w:rsidR="00D61563">
        <w:rPr>
          <w:rFonts w:ascii="Arial" w:hAnsi="Arial"/>
          <w:b/>
          <w:sz w:val="24"/>
        </w:rPr>
        <w:t xml:space="preserve">       /</w:t>
      </w:r>
      <w:r w:rsidR="00370A44">
        <w:rPr>
          <w:rFonts w:ascii="Arial" w:hAnsi="Arial"/>
          <w:b/>
          <w:sz w:val="24"/>
        </w:rPr>
        <w:t>002</w:t>
      </w:r>
    </w:p>
    <w:p w:rsidR="00D1436F" w:rsidRDefault="00D1436F" w:rsidP="00D1436F">
      <w:pPr>
        <w:tabs>
          <w:tab w:val="left" w:pos="-426"/>
        </w:tabs>
        <w:ind w:left="3402" w:hanging="3402"/>
        <w:rPr>
          <w:rFonts w:ascii="Arial" w:hAnsi="Arial"/>
          <w:sz w:val="24"/>
        </w:rPr>
      </w:pPr>
    </w:p>
    <w:p w:rsidR="00D1436F" w:rsidRPr="002E1526" w:rsidRDefault="00D1436F" w:rsidP="00D1436F">
      <w:pPr>
        <w:tabs>
          <w:tab w:val="left" w:pos="-426"/>
          <w:tab w:val="left" w:pos="3119"/>
        </w:tabs>
        <w:ind w:left="3969" w:hanging="425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E1526" w:rsidRPr="002E1526">
        <w:rPr>
          <w:rFonts w:ascii="Arial" w:hAnsi="Arial"/>
          <w:b/>
          <w:sz w:val="24"/>
        </w:rPr>
        <w:t>MAT.:</w:t>
      </w:r>
      <w:r w:rsidR="00191EAE">
        <w:rPr>
          <w:rFonts w:ascii="Arial" w:hAnsi="Arial"/>
          <w:b/>
          <w:sz w:val="24"/>
        </w:rPr>
        <w:t xml:space="preserve"> </w:t>
      </w:r>
      <w:r w:rsidR="002E1526" w:rsidRPr="002E1526">
        <w:rPr>
          <w:rFonts w:ascii="Arial" w:hAnsi="Arial"/>
          <w:sz w:val="24"/>
        </w:rPr>
        <w:t>DERECHOS FUNDAMENTALES, REALIZADAS POR EMPLEADOR. INVESTIGACIÓN ACOSO SEXUAL, PLAZO PARA SU REMISIÓN A INSPECCIÓN DEL TRABAJO</w:t>
      </w:r>
    </w:p>
    <w:p w:rsidR="00AF43EA" w:rsidRDefault="00D1436F" w:rsidP="00D1436F">
      <w:pPr>
        <w:tabs>
          <w:tab w:val="left" w:pos="-426"/>
          <w:tab w:val="left" w:pos="3119"/>
        </w:tabs>
        <w:ind w:left="3969" w:hanging="425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:rsidR="00D1436F" w:rsidRPr="00EE06E8" w:rsidRDefault="00AF43EA" w:rsidP="00EE06E8">
      <w:pPr>
        <w:tabs>
          <w:tab w:val="left" w:pos="-426"/>
          <w:tab w:val="left" w:pos="3119"/>
        </w:tabs>
        <w:ind w:left="3969" w:hanging="425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2E1526" w:rsidRPr="002E1526">
        <w:rPr>
          <w:rFonts w:ascii="Arial" w:hAnsi="Arial"/>
          <w:b/>
          <w:sz w:val="24"/>
        </w:rPr>
        <w:t>RDIC</w:t>
      </w:r>
      <w:r w:rsidR="00D1436F">
        <w:rPr>
          <w:rFonts w:ascii="Arial" w:hAnsi="Arial"/>
          <w:b/>
          <w:sz w:val="24"/>
        </w:rPr>
        <w:t>.:</w:t>
      </w:r>
      <w:r w:rsidR="00D1436F">
        <w:rPr>
          <w:rFonts w:ascii="Arial" w:hAnsi="Arial"/>
          <w:b/>
          <w:sz w:val="24"/>
        </w:rPr>
        <w:tab/>
      </w:r>
      <w:r w:rsidR="00EE06E8" w:rsidRPr="00EE06E8">
        <w:rPr>
          <w:rFonts w:ascii="Arial" w:hAnsi="Arial"/>
          <w:sz w:val="24"/>
        </w:rPr>
        <w:t>Las investigaciones sobre acoso sexual sustanciadas internamente por el empleador, una vez concluidas, deben remitirse en el plazo de cinco días a la Inspección del Trabajo correspondiente, para su informe respectivo.</w:t>
      </w:r>
    </w:p>
    <w:p w:rsidR="00AF43EA" w:rsidRPr="00EE06E8" w:rsidRDefault="00D1436F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sz w:val="24"/>
        </w:rPr>
      </w:pPr>
      <w:r w:rsidRPr="00EE06E8">
        <w:rPr>
          <w:rFonts w:ascii="Arial" w:hAnsi="Arial"/>
          <w:sz w:val="24"/>
        </w:rPr>
        <w:tab/>
      </w:r>
    </w:p>
    <w:p w:rsidR="00D1436F" w:rsidRDefault="00AF43EA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 w:rsidR="00D1436F">
        <w:rPr>
          <w:rFonts w:ascii="Arial" w:hAnsi="Arial"/>
          <w:b/>
          <w:sz w:val="24"/>
        </w:rPr>
        <w:t xml:space="preserve">ANT.: </w:t>
      </w:r>
      <w:r w:rsidR="00D1436F">
        <w:rPr>
          <w:rFonts w:ascii="Arial" w:hAnsi="Arial"/>
          <w:b/>
          <w:sz w:val="24"/>
        </w:rPr>
        <w:tab/>
      </w:r>
      <w:r w:rsidR="00D1436F">
        <w:rPr>
          <w:rFonts w:ascii="Arial" w:hAnsi="Arial"/>
          <w:sz w:val="24"/>
        </w:rPr>
        <w:t>Memo Nº 102, de Jefe de Departamento de Inspección, recibido el 02.11.2011.</w:t>
      </w:r>
    </w:p>
    <w:p w:rsidR="00EE06E8" w:rsidRDefault="00EE06E8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sz w:val="24"/>
        </w:rPr>
      </w:pPr>
    </w:p>
    <w:p w:rsidR="00EE06E8" w:rsidRDefault="00EE06E8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Pr="00EE06E8">
        <w:rPr>
          <w:rFonts w:ascii="Arial" w:hAnsi="Arial"/>
          <w:b/>
          <w:sz w:val="24"/>
        </w:rPr>
        <w:t>FUENTES:</w:t>
      </w:r>
    </w:p>
    <w:p w:rsidR="00EE06E8" w:rsidRDefault="00EE06E8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</w:p>
    <w:p w:rsidR="00EE06E8" w:rsidRDefault="00EE06E8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EE06E8">
        <w:rPr>
          <w:rFonts w:ascii="Arial" w:hAnsi="Arial"/>
          <w:sz w:val="24"/>
        </w:rPr>
        <w:t>Constitución Política, artículo</w:t>
      </w:r>
      <w:r w:rsidR="003E6CAF">
        <w:rPr>
          <w:rFonts w:ascii="Arial" w:hAnsi="Arial"/>
          <w:sz w:val="24"/>
        </w:rPr>
        <w:t>s 6º, incisos 1º y 2º,</w:t>
      </w:r>
      <w:r w:rsidRPr="00EE06E8">
        <w:rPr>
          <w:rFonts w:ascii="Arial" w:hAnsi="Arial"/>
          <w:sz w:val="24"/>
        </w:rPr>
        <w:t xml:space="preserve"> </w:t>
      </w:r>
      <w:r w:rsidR="003E6CAF">
        <w:rPr>
          <w:rFonts w:ascii="Arial" w:hAnsi="Arial"/>
          <w:sz w:val="24"/>
        </w:rPr>
        <w:t xml:space="preserve">y </w:t>
      </w:r>
      <w:r w:rsidRPr="00EE06E8">
        <w:rPr>
          <w:rFonts w:ascii="Arial" w:hAnsi="Arial"/>
          <w:sz w:val="24"/>
        </w:rPr>
        <w:t>19, Nºs 1, 2 y 16.</w:t>
      </w:r>
    </w:p>
    <w:p w:rsidR="00294D0C" w:rsidRDefault="00EE06E8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EE06E8" w:rsidRDefault="00294D0C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EE06E8">
        <w:rPr>
          <w:rFonts w:ascii="Arial" w:hAnsi="Arial"/>
          <w:sz w:val="24"/>
        </w:rPr>
        <w:t xml:space="preserve">Código del Trabajo, </w:t>
      </w:r>
      <w:r>
        <w:rPr>
          <w:rFonts w:ascii="Arial" w:hAnsi="Arial"/>
          <w:sz w:val="24"/>
        </w:rPr>
        <w:t>Título IV del Libro II.</w:t>
      </w:r>
    </w:p>
    <w:p w:rsidR="00294D0C" w:rsidRDefault="00294D0C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sz w:val="24"/>
        </w:rPr>
      </w:pPr>
    </w:p>
    <w:p w:rsidR="00294D0C" w:rsidRDefault="00294D0C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 w:rsidRPr="00294D0C">
        <w:rPr>
          <w:rFonts w:ascii="Arial" w:hAnsi="Arial"/>
          <w:b/>
          <w:sz w:val="24"/>
        </w:rPr>
        <w:t>CONCORDANCIAS:</w:t>
      </w:r>
    </w:p>
    <w:p w:rsidR="00294D0C" w:rsidRDefault="00294D0C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b/>
          <w:sz w:val="24"/>
        </w:rPr>
      </w:pPr>
    </w:p>
    <w:p w:rsidR="00294D0C" w:rsidRPr="00294D0C" w:rsidRDefault="00294D0C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 w:rsidRPr="00294D0C">
        <w:rPr>
          <w:rFonts w:ascii="Arial" w:hAnsi="Arial"/>
          <w:sz w:val="24"/>
        </w:rPr>
        <w:t>Dictámenes Nºs 4541/319, de 22.09.98, y 3448/168, de 12.09.2001.</w:t>
      </w:r>
    </w:p>
    <w:p w:rsidR="00D1436F" w:rsidRPr="00294D0C" w:rsidRDefault="00D1436F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sz w:val="24"/>
        </w:rPr>
      </w:pPr>
      <w:r w:rsidRPr="00294D0C">
        <w:rPr>
          <w:rFonts w:ascii="Arial" w:hAnsi="Arial"/>
          <w:sz w:val="24"/>
        </w:rPr>
        <w:t xml:space="preserve">                                             </w:t>
      </w:r>
    </w:p>
    <w:p w:rsidR="00D1436F" w:rsidRPr="00B714F8" w:rsidRDefault="00D1436F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------------------------------------------------------------</w:t>
      </w:r>
    </w:p>
    <w:p w:rsidR="00D1436F" w:rsidRDefault="00D1436F" w:rsidP="00D1436F">
      <w:pPr>
        <w:tabs>
          <w:tab w:val="left" w:pos="-426"/>
          <w:tab w:val="left" w:pos="3119"/>
        </w:tabs>
        <w:ind w:left="3969" w:hanging="3402"/>
        <w:jc w:val="both"/>
        <w:rPr>
          <w:rFonts w:ascii="Arial" w:hAnsi="Arial"/>
          <w:sz w:val="24"/>
        </w:rPr>
      </w:pPr>
      <w:r w:rsidRPr="00B714F8">
        <w:rPr>
          <w:rFonts w:ascii="Arial" w:hAnsi="Arial"/>
          <w:sz w:val="24"/>
        </w:rPr>
        <w:tab/>
      </w:r>
      <w:r w:rsidRPr="00B714F8">
        <w:rPr>
          <w:rFonts w:ascii="Arial" w:hAnsi="Arial"/>
          <w:sz w:val="24"/>
        </w:rPr>
        <w:tab/>
      </w:r>
    </w:p>
    <w:p w:rsidR="00294D0C" w:rsidRDefault="00AF43EA" w:rsidP="00294D0C">
      <w:pPr>
        <w:tabs>
          <w:tab w:val="left" w:pos="-426"/>
          <w:tab w:val="left" w:pos="3119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ab/>
      </w:r>
    </w:p>
    <w:p w:rsidR="00D1436F" w:rsidRPr="00330C20" w:rsidRDefault="00294D0C" w:rsidP="00294D0C">
      <w:pPr>
        <w:tabs>
          <w:tab w:val="left" w:pos="-426"/>
          <w:tab w:val="left" w:pos="3119"/>
        </w:tabs>
        <w:jc w:val="both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ab/>
      </w:r>
      <w:r w:rsidR="00D1436F">
        <w:rPr>
          <w:rFonts w:ascii="Arial" w:hAnsi="Arial"/>
          <w:b/>
          <w:sz w:val="24"/>
        </w:rPr>
        <w:t>SANTIAGO,</w:t>
      </w:r>
      <w:r w:rsidR="00370A44">
        <w:rPr>
          <w:rFonts w:ascii="Arial" w:hAnsi="Arial"/>
          <w:b/>
          <w:sz w:val="24"/>
        </w:rPr>
        <w:t xml:space="preserve">  09 ENERO 2012</w:t>
      </w:r>
    </w:p>
    <w:p w:rsidR="00D1436F" w:rsidRDefault="00D1436F" w:rsidP="00D1436F">
      <w:pPr>
        <w:tabs>
          <w:tab w:val="left" w:pos="-426"/>
        </w:tabs>
        <w:ind w:left="3119" w:hanging="3402"/>
        <w:rPr>
          <w:rFonts w:ascii="Arial" w:hAnsi="Arial"/>
          <w:b/>
          <w:sz w:val="24"/>
        </w:rPr>
      </w:pPr>
    </w:p>
    <w:p w:rsidR="00AF43EA" w:rsidRDefault="00AF43EA" w:rsidP="00D1436F">
      <w:pPr>
        <w:pStyle w:val="Ttulo3"/>
        <w:tabs>
          <w:tab w:val="left" w:pos="851"/>
        </w:tabs>
        <w:ind w:left="567" w:hanging="567"/>
      </w:pPr>
    </w:p>
    <w:p w:rsidR="00AF43EA" w:rsidRDefault="00AF43EA" w:rsidP="00D1436F">
      <w:pPr>
        <w:pStyle w:val="Ttulo3"/>
        <w:tabs>
          <w:tab w:val="left" w:pos="851"/>
        </w:tabs>
        <w:ind w:left="567" w:hanging="567"/>
      </w:pPr>
    </w:p>
    <w:p w:rsidR="00D1436F" w:rsidRPr="009B7EDD" w:rsidRDefault="00D1436F" w:rsidP="00D1436F">
      <w:pPr>
        <w:pStyle w:val="Ttulo3"/>
        <w:tabs>
          <w:tab w:val="left" w:pos="851"/>
        </w:tabs>
        <w:ind w:left="567" w:hanging="567"/>
        <w:rPr>
          <w:b w:val="0"/>
        </w:rPr>
      </w:pPr>
      <w:r>
        <w:t xml:space="preserve">DE </w:t>
      </w:r>
      <w:r>
        <w:tab/>
        <w:t>:</w:t>
      </w:r>
      <w:r>
        <w:tab/>
      </w:r>
      <w:r w:rsidR="00294D0C" w:rsidRPr="00294D0C">
        <w:rPr>
          <w:b w:val="0"/>
        </w:rPr>
        <w:t>DIRECTORA DEL TRABAJO</w:t>
      </w:r>
      <w:r w:rsidRPr="00294D0C">
        <w:rPr>
          <w:b w:val="0"/>
        </w:rPr>
        <w:tab/>
      </w:r>
    </w:p>
    <w:p w:rsidR="00D1436F" w:rsidRPr="009B7EDD" w:rsidRDefault="00D1436F" w:rsidP="00D1436F">
      <w:pPr>
        <w:tabs>
          <w:tab w:val="left" w:pos="-426"/>
        </w:tabs>
        <w:jc w:val="both"/>
        <w:rPr>
          <w:rFonts w:ascii="Arial" w:hAnsi="Arial"/>
          <w:sz w:val="24"/>
        </w:rPr>
      </w:pPr>
    </w:p>
    <w:p w:rsidR="00AF43EA" w:rsidRDefault="00AF43EA" w:rsidP="00D1436F">
      <w:pPr>
        <w:pStyle w:val="Textoindependiente2"/>
      </w:pPr>
    </w:p>
    <w:p w:rsidR="00D1436F" w:rsidRPr="00C810F3" w:rsidRDefault="00D1436F" w:rsidP="00D1436F">
      <w:pPr>
        <w:pStyle w:val="Textoindependiente2"/>
        <w:rPr>
          <w:u w:val="single"/>
        </w:rPr>
      </w:pPr>
      <w:r>
        <w:t xml:space="preserve">A      :  </w:t>
      </w:r>
      <w:r w:rsidRPr="00C176EF">
        <w:rPr>
          <w:b w:val="0"/>
        </w:rPr>
        <w:t>SEÑOR</w:t>
      </w:r>
      <w:r>
        <w:rPr>
          <w:b w:val="0"/>
        </w:rPr>
        <w:t xml:space="preserve"> JEFE DEPARTAMENTO DE INSPECCIÓN</w:t>
      </w:r>
    </w:p>
    <w:p w:rsidR="00D1436F" w:rsidRDefault="00D1436F" w:rsidP="00D1436F">
      <w:pPr>
        <w:pStyle w:val="Textoindependiente2"/>
        <w:rPr>
          <w:b w:val="0"/>
        </w:rPr>
      </w:pPr>
      <w:r>
        <w:rPr>
          <w:b w:val="0"/>
        </w:rPr>
        <w:t xml:space="preserve">            </w:t>
      </w:r>
      <w:r>
        <w:rPr>
          <w:b w:val="0"/>
        </w:rPr>
        <w:tab/>
      </w:r>
      <w:r>
        <w:rPr>
          <w:b w:val="0"/>
        </w:rPr>
        <w:tab/>
      </w:r>
    </w:p>
    <w:p w:rsidR="00D7675C" w:rsidRDefault="00D1436F" w:rsidP="00D1436F">
      <w:pPr>
        <w:pStyle w:val="Textoindependiente2"/>
        <w:rPr>
          <w:b w:val="0"/>
        </w:rPr>
      </w:pPr>
      <w:r>
        <w:rPr>
          <w:b w:val="0"/>
        </w:rPr>
        <w:tab/>
      </w:r>
    </w:p>
    <w:p w:rsidR="00AF43EA" w:rsidRDefault="00D1436F" w:rsidP="00D1436F">
      <w:pPr>
        <w:pStyle w:val="Textoindependiente2"/>
        <w:rPr>
          <w:b w:val="0"/>
        </w:rPr>
      </w:pPr>
      <w:r>
        <w:rPr>
          <w:b w:val="0"/>
        </w:rPr>
        <w:tab/>
      </w:r>
    </w:p>
    <w:p w:rsidR="00617415" w:rsidRDefault="00AF43EA" w:rsidP="00617415">
      <w:pPr>
        <w:pStyle w:val="Textoindependiente2"/>
        <w:rPr>
          <w:b w:val="0"/>
        </w:rPr>
      </w:pPr>
      <w:r>
        <w:rPr>
          <w:b w:val="0"/>
        </w:rPr>
        <w:tab/>
      </w:r>
      <w:r w:rsidR="00617415">
        <w:rPr>
          <w:b w:val="0"/>
        </w:rPr>
        <w:t xml:space="preserve">Por Memo del antecedente, esa Jefatura explica que conforme a los artículos 211-A y siguientes del Código del Trabajo, en el caso que </w:t>
      </w:r>
      <w:r w:rsidR="00617415">
        <w:rPr>
          <w:b w:val="0"/>
        </w:rPr>
        <w:lastRenderedPageBreak/>
        <w:t>la investigación por acoso sexual se sustancie internamente en la entidad empleadora, no existe un plazo legal establecido para que el informe respectivo y sus antecedentes, sean remitidos a la Inspección del Trabajo correspondiente.</w:t>
      </w:r>
    </w:p>
    <w:p w:rsidR="00617415" w:rsidRDefault="00617415" w:rsidP="00617415">
      <w:pPr>
        <w:pStyle w:val="Textoindependiente2"/>
        <w:rPr>
          <w:b w:val="0"/>
        </w:rPr>
      </w:pPr>
    </w:p>
    <w:p w:rsidR="00617415" w:rsidRDefault="00617415" w:rsidP="00617415">
      <w:pPr>
        <w:pStyle w:val="Textoindependiente2"/>
        <w:rPr>
          <w:b w:val="0"/>
        </w:rPr>
      </w:pPr>
      <w:r>
        <w:rPr>
          <w:b w:val="0"/>
        </w:rPr>
        <w:tab/>
        <w:t xml:space="preserve">Solicita asimismo, que este Departamento emita un informe jurídico que interprete estas disposiciones y establezca </w:t>
      </w:r>
      <w:r w:rsidR="00946B52">
        <w:rPr>
          <w:b w:val="0"/>
        </w:rPr>
        <w:t>cual sería el</w:t>
      </w:r>
      <w:r>
        <w:rPr>
          <w:b w:val="0"/>
        </w:rPr>
        <w:t xml:space="preserve"> plazo para la remisión pertinente. </w:t>
      </w:r>
    </w:p>
    <w:p w:rsidR="00617415" w:rsidRDefault="00617415" w:rsidP="00617415">
      <w:pPr>
        <w:pStyle w:val="Textoindependiente2"/>
        <w:rPr>
          <w:b w:val="0"/>
        </w:rPr>
      </w:pPr>
    </w:p>
    <w:p w:rsidR="00617415" w:rsidRDefault="00617415" w:rsidP="00617415">
      <w:pPr>
        <w:pStyle w:val="Textoindependiente2"/>
        <w:rPr>
          <w:b w:val="0"/>
        </w:rPr>
      </w:pPr>
      <w:r>
        <w:rPr>
          <w:b w:val="0"/>
        </w:rPr>
        <w:tab/>
        <w:t>Al respecto, cúmpleme manifestar lo siguiente:</w:t>
      </w:r>
    </w:p>
    <w:p w:rsidR="00617415" w:rsidRDefault="00617415" w:rsidP="00617415">
      <w:pPr>
        <w:pStyle w:val="Textoindependiente2"/>
        <w:rPr>
          <w:b w:val="0"/>
        </w:rPr>
      </w:pPr>
    </w:p>
    <w:p w:rsidR="00617415" w:rsidRDefault="00617415" w:rsidP="00617415">
      <w:pPr>
        <w:pStyle w:val="Textoindependiente2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:rsidR="00617415" w:rsidRDefault="00617415" w:rsidP="00617415">
      <w:pPr>
        <w:pStyle w:val="Textoindependiente2"/>
        <w:rPr>
          <w:b w:val="0"/>
        </w:rPr>
      </w:pPr>
      <w:r>
        <w:rPr>
          <w:b w:val="0"/>
        </w:rPr>
        <w:tab/>
        <w:t>La ley Nº 20.005 introdujo modificaciones a los artículos 2º, 153, 154, 160, 171 y 425 del Código del Trabajo, y agregó el Título IV al Libro II del mismo, que denominó “De la Investigación y Sanción del Acoso Sexual”, compuesto por cinco artículos nuevos, del 211-A al 211-E.</w:t>
      </w:r>
    </w:p>
    <w:p w:rsidR="00617415" w:rsidRDefault="00617415" w:rsidP="00617415">
      <w:pPr>
        <w:pStyle w:val="Textoindependiente2"/>
        <w:rPr>
          <w:b w:val="0"/>
        </w:rPr>
      </w:pPr>
    </w:p>
    <w:p w:rsidR="00294D0C" w:rsidRDefault="00617415" w:rsidP="00617415">
      <w:pPr>
        <w:pStyle w:val="Textoindependiente2"/>
        <w:rPr>
          <w:b w:val="0"/>
        </w:rPr>
      </w:pPr>
      <w:r>
        <w:rPr>
          <w:b w:val="0"/>
        </w:rPr>
        <w:tab/>
      </w:r>
    </w:p>
    <w:p w:rsidR="00827966" w:rsidRDefault="00294D0C" w:rsidP="00617415">
      <w:pPr>
        <w:pStyle w:val="Textoindependiente2"/>
        <w:rPr>
          <w:b w:val="0"/>
        </w:rPr>
      </w:pPr>
      <w:r>
        <w:rPr>
          <w:b w:val="0"/>
        </w:rPr>
        <w:tab/>
      </w:r>
      <w:r w:rsidR="00617415">
        <w:rPr>
          <w:b w:val="0"/>
        </w:rPr>
        <w:t>En este Título, se regula un procedimiento breve de investigación y sanción del acoso sexual, el que puede ser sustanciado por la  Inspección del Trabajo o la empresa; el reclamo podrá ser formalizado ante la empresa, establecimiento o servicio, o ante la Inspección del Trabajo</w:t>
      </w:r>
      <w:r w:rsidR="00827966">
        <w:rPr>
          <w:b w:val="0"/>
        </w:rPr>
        <w:t xml:space="preserve">; recibido </w:t>
      </w:r>
      <w:r w:rsidR="00BA10AE">
        <w:rPr>
          <w:b w:val="0"/>
        </w:rPr>
        <w:t>e</w:t>
      </w:r>
      <w:r w:rsidR="0094616B">
        <w:rPr>
          <w:b w:val="0"/>
        </w:rPr>
        <w:t>l</w:t>
      </w:r>
      <w:r w:rsidR="00BA10AE">
        <w:rPr>
          <w:b w:val="0"/>
        </w:rPr>
        <w:t xml:space="preserve"> reclamo </w:t>
      </w:r>
      <w:r w:rsidR="00827966">
        <w:rPr>
          <w:b w:val="0"/>
        </w:rPr>
        <w:t>por el empleador, éste podrá disponer una investigación interna, o bien, remitir los antecedentes a la Inspección del Trabajo respectiva en el plazo de cinco días; en cualquier caso, la investigación deberá concluirse en el plazo de treinta días</w:t>
      </w:r>
      <w:r w:rsidR="00BA10AE">
        <w:rPr>
          <w:b w:val="0"/>
        </w:rPr>
        <w:t>, las partes involucradas deberán ser informadas de los resultados de la investigación, y en definitiva, el empleador deberá adoptar las medidas o sanciones que correspondan.</w:t>
      </w:r>
    </w:p>
    <w:p w:rsidR="00827966" w:rsidRDefault="00827966" w:rsidP="00617415">
      <w:pPr>
        <w:pStyle w:val="Textoindependiente2"/>
        <w:rPr>
          <w:b w:val="0"/>
        </w:rPr>
      </w:pPr>
    </w:p>
    <w:p w:rsidR="00A87592" w:rsidRDefault="00827966" w:rsidP="00617415">
      <w:pPr>
        <w:pStyle w:val="Textoindependiente2"/>
        <w:rPr>
          <w:b w:val="0"/>
        </w:rPr>
      </w:pPr>
      <w:r>
        <w:rPr>
          <w:b w:val="0"/>
        </w:rPr>
        <w:tab/>
      </w:r>
    </w:p>
    <w:p w:rsidR="0038161B" w:rsidRDefault="00A87592" w:rsidP="00617415">
      <w:pPr>
        <w:pStyle w:val="Textoindependiente2"/>
        <w:rPr>
          <w:b w:val="0"/>
        </w:rPr>
      </w:pPr>
      <w:r>
        <w:rPr>
          <w:b w:val="0"/>
        </w:rPr>
        <w:tab/>
      </w:r>
      <w:r w:rsidR="00827966">
        <w:rPr>
          <w:b w:val="0"/>
        </w:rPr>
        <w:t xml:space="preserve">Ahora bien, para el caso que esta investigación se instruya internamente por la empresa, el legislador </w:t>
      </w:r>
      <w:r w:rsidR="00827966" w:rsidRPr="00827966">
        <w:t>no fija plazo</w:t>
      </w:r>
      <w:r w:rsidR="00827966">
        <w:rPr>
          <w:b w:val="0"/>
        </w:rPr>
        <w:t xml:space="preserve"> para que, concluidos los 30 días en que debe practicarse ésta, se remitan los antecedentes acumulados a la Inspecci</w:t>
      </w:r>
      <w:r w:rsidR="006700A3">
        <w:rPr>
          <w:b w:val="0"/>
        </w:rPr>
        <w:t>ón del Trabajo, lo cual, es pre</w:t>
      </w:r>
      <w:r>
        <w:rPr>
          <w:b w:val="0"/>
        </w:rPr>
        <w:t>visible</w:t>
      </w:r>
      <w:r w:rsidR="006700A3">
        <w:rPr>
          <w:b w:val="0"/>
        </w:rPr>
        <w:t xml:space="preserve"> que entorpezca la consecución de las finalidades que se propuso el legislador</w:t>
      </w:r>
      <w:r w:rsidR="00A140B8">
        <w:rPr>
          <w:b w:val="0"/>
        </w:rPr>
        <w:t xml:space="preserve">  -</w:t>
      </w:r>
      <w:r w:rsidR="006700A3">
        <w:rPr>
          <w:b w:val="0"/>
        </w:rPr>
        <w:t xml:space="preserve"> en su oportunidad</w:t>
      </w:r>
      <w:r w:rsidR="00A140B8">
        <w:rPr>
          <w:b w:val="0"/>
        </w:rPr>
        <w:t xml:space="preserve"> -</w:t>
      </w:r>
      <w:r w:rsidR="006700A3">
        <w:rPr>
          <w:b w:val="0"/>
        </w:rPr>
        <w:t xml:space="preserve"> al sancionar esta normativa legal.</w:t>
      </w:r>
    </w:p>
    <w:p w:rsidR="0038161B" w:rsidRDefault="0038161B" w:rsidP="00617415">
      <w:pPr>
        <w:pStyle w:val="Textoindependiente2"/>
        <w:rPr>
          <w:b w:val="0"/>
        </w:rPr>
      </w:pPr>
    </w:p>
    <w:p w:rsidR="00A87592" w:rsidRDefault="0038161B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b/>
        </w:rPr>
      </w:pPr>
      <w:r>
        <w:rPr>
          <w:b/>
        </w:rPr>
        <w:tab/>
      </w:r>
    </w:p>
    <w:p w:rsidR="006700A3" w:rsidRDefault="00A87592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b/>
        </w:rPr>
        <w:tab/>
      </w:r>
      <w:r w:rsidR="0038161B" w:rsidRPr="0038161B">
        <w:rPr>
          <w:rFonts w:ascii="Arial" w:hAnsi="Arial" w:cs="Arial"/>
          <w:sz w:val="24"/>
          <w:szCs w:val="24"/>
        </w:rPr>
        <w:t>Sobre la importancia y propósitos de la ley Nº 20.005, sobre acoso sexual, el Ministro del Trabajo y Previsión Social de la época</w:t>
      </w:r>
      <w:r w:rsidR="0038161B">
        <w:rPr>
          <w:rFonts w:ascii="Arial" w:hAnsi="Arial" w:cs="Arial"/>
          <w:sz w:val="24"/>
          <w:szCs w:val="24"/>
        </w:rPr>
        <w:t>, a juicio del Ejecutivo,</w:t>
      </w:r>
      <w:r w:rsidR="0038161B" w:rsidRPr="0038161B">
        <w:rPr>
          <w:rFonts w:ascii="Arial" w:hAnsi="Arial" w:cs="Arial"/>
          <w:sz w:val="24"/>
          <w:szCs w:val="24"/>
        </w:rPr>
        <w:t xml:space="preserve"> hace presente</w:t>
      </w:r>
      <w:r w:rsidR="0038161B">
        <w:rPr>
          <w:rFonts w:ascii="Arial" w:hAnsi="Arial" w:cs="Arial"/>
          <w:sz w:val="24"/>
          <w:szCs w:val="24"/>
        </w:rPr>
        <w:t xml:space="preserve"> </w:t>
      </w:r>
      <w:r w:rsidR="0038161B" w:rsidRPr="0038161B">
        <w:rPr>
          <w:rFonts w:ascii="Arial" w:hAnsi="Arial" w:cs="Arial"/>
          <w:sz w:val="24"/>
          <w:szCs w:val="24"/>
        </w:rPr>
        <w:t>que</w:t>
      </w:r>
      <w:r w:rsidR="0038161B">
        <w:rPr>
          <w:rFonts w:ascii="Arial" w:hAnsi="Arial" w:cs="Arial"/>
          <w:sz w:val="24"/>
          <w:szCs w:val="24"/>
        </w:rPr>
        <w:t xml:space="preserve">, </w:t>
      </w:r>
      <w:r w:rsidR="0038161B" w:rsidRPr="0038161B">
        <w:rPr>
          <w:rFonts w:ascii="Arial" w:hAnsi="Arial" w:cs="Arial"/>
          <w:i/>
          <w:sz w:val="24"/>
          <w:szCs w:val="24"/>
        </w:rPr>
        <w:t>“</w:t>
      </w:r>
      <w:r w:rsidR="0038161B" w:rsidRPr="0038161B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>una de las manifestaciones más graves de discriminación en cuanto al sexo está constituida por el acoso sexual en el lugar de trabajo</w:t>
      </w:r>
      <w:r w:rsidR="00C04E7F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, </w:t>
      </w:r>
      <w:r w:rsidR="0038161B" w:rsidRPr="0038161B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>el cual se constituye en una forma de discriminación por cuanto, aunque en teoría puede afectar indistintamente a hombres y mujeres, en la práctica</w:t>
      </w:r>
      <w:r w:rsidR="00C04E7F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>,</w:t>
      </w:r>
      <w:r w:rsidR="0038161B" w:rsidRPr="0038161B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la mayor cantidad de afectadas por dichas conductas son mujeres”.</w:t>
      </w:r>
      <w:r w:rsidR="0038161B" w:rsidRPr="0038161B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</w:t>
      </w:r>
      <w:r w:rsidR="00096A74" w:rsidRPr="00096A74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Enseguida, destaca que</w:t>
      </w:r>
      <w:r w:rsidR="00096A74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,</w:t>
      </w:r>
      <w:r w:rsidR="00096A74" w:rsidRPr="00096A74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</w:t>
      </w:r>
      <w:r w:rsidR="00096A74" w:rsidRPr="00096A74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>“el acoso sexual vulnera normas fundamentales de nuestra Constitución Política. En primer lugar el artículo 19 Nº 1 que asegura a todas las personas su derecho a la integridad física y psíquica. Por su parte</w:t>
      </w:r>
      <w:r w:rsidR="00096A74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>,</w:t>
      </w:r>
      <w:r w:rsidR="00096A74" w:rsidRPr="00096A74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el Nº 2 del mencionado artículo prescribe que ni la ley n</w:t>
      </w:r>
      <w:r w:rsidR="00C04E7F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>i</w:t>
      </w:r>
      <w:r w:rsidR="00096A74" w:rsidRPr="00096A74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autoridad alguna </w:t>
      </w:r>
      <w:r w:rsidR="006700A3" w:rsidRPr="00096A74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>podrá</w:t>
      </w:r>
      <w:r w:rsidR="00096A74" w:rsidRPr="00096A74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establecer diferencias arbitrarias. Finalmente, el inciso tercero del Nº 16 prohíbe, en el ámbito </w:t>
      </w:r>
      <w:r w:rsidR="006700A3" w:rsidRPr="00096A74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>laboral</w:t>
      </w:r>
      <w:r w:rsidR="006700A3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>,</w:t>
      </w:r>
      <w:r w:rsidR="006700A3" w:rsidRPr="00096A74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cualquier</w:t>
      </w:r>
      <w:r w:rsidR="00096A74" w:rsidRPr="00096A74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discriminación que no se base en la capacidad o idoneidad personal del trabajador”</w:t>
      </w:r>
      <w:r w:rsidR="006700A3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</w:t>
      </w:r>
      <w:r w:rsidR="006700A3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(Historia de la Ley Nº 20.005, Informe de la Comisión Trabajo, Biblioteca del Congreso Nacional).</w:t>
      </w:r>
    </w:p>
    <w:p w:rsidR="006700A3" w:rsidRDefault="006700A3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</w:p>
    <w:p w:rsidR="00A87592" w:rsidRDefault="006700A3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</w:r>
    </w:p>
    <w:p w:rsidR="002C3295" w:rsidRDefault="00A87592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</w:r>
      <w:r w:rsidR="006700A3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Se infiere por tanto, que esta ley encuentra su justificación y fundamento, en valores esenciales vinculados a la dignidad de la </w:t>
      </w:r>
      <w:r w:rsidR="006700A3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lastRenderedPageBreak/>
        <w:t xml:space="preserve">persona humana, y que la finalidad </w:t>
      </w:r>
      <w:r w:rsidR="002C3295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que tuvo presente </w:t>
      </w:r>
      <w:r w:rsidR="006700A3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el legislador </w:t>
      </w:r>
      <w:r w:rsidR="002C3295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para sancionarla, </w:t>
      </w:r>
      <w:r w:rsidR="006700A3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ha consistido en </w:t>
      </w:r>
      <w:r w:rsidR="002C3295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prevenir y </w:t>
      </w:r>
      <w:r w:rsidR="006700A3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evitar</w:t>
      </w:r>
      <w:r w:rsidR="002C3295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la trasgresión </w:t>
      </w:r>
      <w:r w:rsidR="00C04E7F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de</w:t>
      </w:r>
      <w:r w:rsidR="002C3295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los derechos fundamentales precedentemente descritos, de que tratan los citados artículos de la Constitución Política del Estado.</w:t>
      </w:r>
    </w:p>
    <w:p w:rsidR="00B16FEA" w:rsidRDefault="00A87592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</w:r>
    </w:p>
    <w:p w:rsidR="00B16FEA" w:rsidRDefault="00B16FEA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</w:p>
    <w:p w:rsidR="000D07D8" w:rsidRPr="00A87592" w:rsidRDefault="00B16FEA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b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</w:r>
      <w:r w:rsidR="002C3295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Trat</w:t>
      </w:r>
      <w:r w:rsidR="000D07D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ándose en consecuencia, de una iniciativa legislativa destinada a la protección de derechos fundamentales, cabe a esta Dirección  - en el ámbito de sus atribuciones -  una </w:t>
      </w:r>
      <w:r w:rsidR="000D07D8" w:rsidRPr="00A87592">
        <w:rPr>
          <w:rFonts w:ascii="Arial" w:eastAsiaTheme="minorHAnsi" w:hAnsi="Arial" w:cs="Arial"/>
          <w:b/>
          <w:color w:val="333333"/>
          <w:sz w:val="24"/>
          <w:szCs w:val="24"/>
          <w:lang w:val="es-CL" w:eastAsia="en-US"/>
        </w:rPr>
        <w:t>intervención activa y obligatoria.</w:t>
      </w:r>
    </w:p>
    <w:p w:rsidR="00B16FEA" w:rsidRDefault="000D07D8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</w:r>
    </w:p>
    <w:p w:rsidR="00004D72" w:rsidRDefault="00B16FEA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</w:r>
      <w:r w:rsidR="000D07D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En efecto, conforme lo ha destacado reiteradamente la jurisprudencia administrativa de esta Dirección, </w:t>
      </w:r>
      <w:r w:rsidR="000D07D8" w:rsidRPr="000D07D8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>“los órganos estatales asumen un rol activo no sólo respetando los derechos fundamentales, sino sobre todo, promoviéndolos”</w:t>
      </w:r>
      <w:r w:rsidR="000D07D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(Dictamen Nº 3448/168, de 12.09.20</w:t>
      </w:r>
      <w:r w:rsidR="00C91A67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0</w:t>
      </w:r>
      <w:r w:rsidR="000D07D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1);</w:t>
      </w:r>
      <w:r w:rsidR="00C30645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asimismo, al analizar los incisos 1º y 2º del artículo 6º de la Constitución Política del Estado, esta Dirección precisó estos conceptos con mayor amplitud, y dejó establecido que </w:t>
      </w:r>
      <w:r w:rsidR="00C30645" w:rsidRPr="00C30645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>“De las normas constitucionales precedentes se infiere, el principio de la supremacía constitucional en virtud del cual todas las otras jerarquías de normas jurídicas se encuentran supeditadas a la Ley Fundamental, como asimismo, también está contenido en estas disposiciones el principio de la vinculación directa, conforme al cual el carácter imperativo de las normas de carácter constitucional obliga tanto a las autoridades públicas como a todos los ciudadanos, es decir, tanto a los gobernantes como a los gobernados, incluidas naturalmente las organizaciones situadas en el espacio intermedio entre el individuo y el Estado”</w:t>
      </w:r>
      <w:r w:rsidR="00C30645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(Dictamen Nº 4541/319, 22.09.98).</w:t>
      </w:r>
      <w:r w:rsidR="00004D72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En fin, </w:t>
      </w:r>
      <w:r w:rsidR="00004D72" w:rsidRPr="00004D72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“Tal es el sentido de la doctrina de la eficacia inmediata de los derechos fundamentales, cual es, </w:t>
      </w:r>
      <w:r w:rsidR="00004D72" w:rsidRPr="00004D72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“servir de pauta de comportamiento de los individuos en sus relaciones y no simplemente de ser un elemento interpretativo del derecho privado</w:t>
      </w:r>
      <w:r w:rsidR="00004D72" w:rsidRPr="00004D72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>””</w:t>
      </w:r>
      <w:r w:rsidR="00004D72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(José María Bilbao Ubillos, La eficacia de los derecho fundamentales frente a particulares, Boletín de la Dirección del Trabajo, mayo 2001, página 17</w:t>
      </w:r>
      <w:r w:rsidR="00C91A67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, citado por Dictamen Nº 3448/168</w:t>
      </w:r>
      <w:r w:rsidR="009610A5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, de 12.09.2001</w:t>
      </w:r>
      <w:r w:rsidR="00004D72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).</w:t>
      </w:r>
    </w:p>
    <w:p w:rsidR="00004D72" w:rsidRDefault="00004D72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</w:p>
    <w:p w:rsidR="00294D0C" w:rsidRDefault="00004D72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</w:r>
    </w:p>
    <w:p w:rsidR="00CD3FAF" w:rsidRDefault="00294D0C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</w:r>
      <w:r w:rsidR="00004D72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En este orden de ideas, </w:t>
      </w:r>
      <w:r w:rsidR="00CD3FAF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compete a esta Dirección interpretar la ley Nº 20.005, integrar debidamente sus normas y salvar aquellos espacios </w:t>
      </w:r>
      <w:r w:rsidR="00F0190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del </w:t>
      </w:r>
      <w:r w:rsidR="00CD3FAF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ritual de investigación </w:t>
      </w:r>
      <w:r w:rsidR="00F0190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d</w:t>
      </w:r>
      <w:r w:rsidR="00CD3FAF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e</w:t>
      </w:r>
      <w:r w:rsidR="00F0190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l</w:t>
      </w:r>
      <w:r w:rsidR="00CD3FAF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abuso sexual que entorpezca </w:t>
      </w:r>
      <w:r w:rsidR="00F0190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la </w:t>
      </w:r>
      <w:r w:rsidR="00CD3FAF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eficacia</w:t>
      </w:r>
      <w:r w:rsidR="00F0190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 del cue</w:t>
      </w:r>
      <w:r w:rsidR="00C04E7F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r</w:t>
      </w:r>
      <w:r w:rsidR="00F0190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p</w:t>
      </w:r>
      <w:r w:rsidR="00C04E7F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o</w:t>
      </w:r>
      <w:r w:rsidR="00F0190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legal.</w:t>
      </w:r>
    </w:p>
    <w:p w:rsidR="00CD3FAF" w:rsidRDefault="00CD3FAF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</w:p>
    <w:p w:rsidR="00F01908" w:rsidRDefault="00CD3FAF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  <w:t xml:space="preserve">Se advierte así, que formalizada la denuncia o reclamo a la empresa, establecimiento o servicio, el empleador podrá iniciar una investigación interna, o bien, en el </w:t>
      </w:r>
      <w:r w:rsidRPr="00DA0D8D">
        <w:rPr>
          <w:rFonts w:ascii="Arial" w:eastAsiaTheme="minorHAnsi" w:hAnsi="Arial" w:cs="Arial"/>
          <w:b/>
          <w:color w:val="333333"/>
          <w:sz w:val="24"/>
          <w:szCs w:val="24"/>
          <w:lang w:val="es-CL" w:eastAsia="en-US"/>
        </w:rPr>
        <w:t>plazo de cinco días</w:t>
      </w: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, deberá remitir los antecedentes a la Inspección del Trabajo respectiva.</w:t>
      </w:r>
    </w:p>
    <w:p w:rsidR="00F01908" w:rsidRDefault="00F01908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</w:p>
    <w:p w:rsidR="00A140B8" w:rsidRDefault="00F01908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  <w:t xml:space="preserve">Para la debida protección de los derechos fundamentales involucrados, </w:t>
      </w:r>
      <w:r w:rsidR="00A140B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este plazo debe hacerse extensivo en los términos y forma que enseguida se explica.</w:t>
      </w:r>
    </w:p>
    <w:p w:rsidR="00A140B8" w:rsidRDefault="00A140B8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</w:p>
    <w:p w:rsidR="00B16FEA" w:rsidRDefault="00A140B8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</w:r>
    </w:p>
    <w:p w:rsidR="00C94A26" w:rsidRDefault="00B16FEA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</w:r>
      <w:r w:rsidR="00A140B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Efectivamente</w:t>
      </w: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, </w:t>
      </w:r>
      <w:r w:rsidR="00F0190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teniendo presente la máxima de interpretación l</w:t>
      </w: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egislativa en virtud de la cual</w:t>
      </w:r>
      <w:r w:rsidR="00F0190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</w:t>
      </w:r>
      <w:r w:rsidR="00F01908" w:rsidRPr="00F01908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>“donde existe la misma razón debe existir la misma disposición”,</w:t>
      </w:r>
      <w:r w:rsidR="00F01908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</w:t>
      </w:r>
      <w:r w:rsidR="00F0190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y reiterando la necesidad jurídica en que se encuentra esta Dirección de garantizar y promover </w:t>
      </w: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los</w:t>
      </w:r>
      <w:r w:rsidR="00F0190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derechos esenciales a la dignidad de la persona humana, debe dejarse establecido que </w:t>
      </w:r>
      <w:r w:rsidR="00567764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extinguido el plazo de 30 días que la empresa tiene para concluir la investigación interna sobre acoso sexual, deberá remitir todos los antecedentes acumulados en el plazo de cinco </w:t>
      </w:r>
      <w:r w:rsidR="00567764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lastRenderedPageBreak/>
        <w:t xml:space="preserve">días a la Inspección respectiva, para su informe, esto es, idéntico plazo con que cuenta la empresa para hacer llegar </w:t>
      </w:r>
      <w:r w:rsidR="00C94A26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a la instancia inspectiva, </w:t>
      </w:r>
      <w:r w:rsidR="00567764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la denuncia o reclamo de acuerdo al inciso 1º del artículo 211-C del Código del Trabajo.</w:t>
      </w:r>
    </w:p>
    <w:p w:rsidR="00C94A26" w:rsidRDefault="00C94A26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</w:p>
    <w:p w:rsidR="00B16FEA" w:rsidRDefault="00C94A26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</w:r>
    </w:p>
    <w:p w:rsidR="00C94A26" w:rsidRDefault="00B16FEA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</w:r>
      <w:r w:rsidR="00C94A26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En estas condiciones, resulta plenamente justificado que el plazo establecido en este artículo, se haga extensivo también a la oportunidad en que la empleadora</w:t>
      </w:r>
      <w:r w:rsidR="004A3F4F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 - concluida la investigación -</w:t>
      </w:r>
      <w:r w:rsidR="00C94A26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</w:t>
      </w:r>
      <w:r w:rsidR="004A3F4F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</w:t>
      </w:r>
      <w:r w:rsidR="00C94A26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deba remitir</w:t>
      </w:r>
      <w:r w:rsidR="004A3F4F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la a</w:t>
      </w:r>
      <w:r w:rsidR="00C94A26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la Inspección del Trabajo, remisión legal que resulta necesaria y plenamente justificada atendidos los valores jurídicos involucrados</w:t>
      </w: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, debiéndose reiterar que en una situación como la descrita, esta Dirección se encuentra en el deber imperativo de garantizar el cumplimie</w:t>
      </w:r>
      <w:r w:rsidR="00DA0D8D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nto de la finalidad </w:t>
      </w:r>
      <w:r w:rsidR="00A252A8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que tuvo a la vista el legislador, al sancionar la ley </w:t>
      </w:r>
      <w:r w:rsidR="00DA0D8D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Nº 20.005</w:t>
      </w:r>
      <w:r w:rsidR="003E6CAF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.</w:t>
      </w:r>
    </w:p>
    <w:p w:rsidR="00C94A26" w:rsidRDefault="00C94A26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</w:p>
    <w:p w:rsidR="00B16FEA" w:rsidRDefault="00B16FEA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</w:pPr>
    </w:p>
    <w:p w:rsidR="0038161B" w:rsidRPr="00F01908" w:rsidRDefault="00294D0C" w:rsidP="00096A74">
      <w:pPr>
        <w:tabs>
          <w:tab w:val="left" w:pos="3119"/>
        </w:tabs>
        <w:autoSpaceDE w:val="0"/>
        <w:autoSpaceDN w:val="0"/>
        <w:adjustRightInd w:val="0"/>
        <w:jc w:val="both"/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</w:pPr>
      <w:r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ab/>
      </w:r>
      <w:r w:rsidR="00C94A26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En consecuencia, sobre la base de las disposiciones constitucionales</w:t>
      </w:r>
      <w:r w:rsidR="009C7981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y legales,</w:t>
      </w:r>
      <w:r w:rsidR="00C94A26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y razones hechas valer, cúmpleme manifestar que en las investigaciones sobre acoso sexual sustanciadas internamente por el empleador, una vez concluidas, deben remitirse en el plazo de cinco días a la Inspecci</w:t>
      </w:r>
      <w:r w:rsidR="00BB0002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>ón del Trabajo correspondiente, para su informe respectivo.</w:t>
      </w:r>
      <w:r w:rsidR="00C94A26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</w:t>
      </w:r>
      <w:r w:rsidR="00567764">
        <w:rPr>
          <w:rFonts w:ascii="Arial" w:eastAsiaTheme="minorHAnsi" w:hAnsi="Arial" w:cs="Arial"/>
          <w:color w:val="333333"/>
          <w:sz w:val="24"/>
          <w:szCs w:val="24"/>
          <w:lang w:val="es-CL" w:eastAsia="en-US"/>
        </w:rPr>
        <w:t xml:space="preserve">     </w:t>
      </w:r>
      <w:r w:rsidR="00F01908" w:rsidRPr="00F01908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 </w:t>
      </w:r>
      <w:r w:rsidR="00CD3FAF" w:rsidRPr="00F01908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 </w:t>
      </w:r>
      <w:r w:rsidR="00C30645" w:rsidRPr="00F01908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 </w:t>
      </w:r>
      <w:r w:rsidR="000D07D8" w:rsidRPr="00F01908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   </w:t>
      </w:r>
      <w:r w:rsidR="002C3295" w:rsidRPr="00F01908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 </w:t>
      </w:r>
      <w:r w:rsidR="006700A3" w:rsidRPr="00F01908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</w:t>
      </w:r>
      <w:r w:rsidR="00096A74" w:rsidRPr="00F01908">
        <w:rPr>
          <w:rFonts w:ascii="Arial" w:eastAsiaTheme="minorHAnsi" w:hAnsi="Arial" w:cs="Arial"/>
          <w:i/>
          <w:color w:val="333333"/>
          <w:sz w:val="24"/>
          <w:szCs w:val="24"/>
          <w:lang w:val="es-CL" w:eastAsia="en-US"/>
        </w:rPr>
        <w:t xml:space="preserve">  </w:t>
      </w:r>
    </w:p>
    <w:p w:rsidR="0038161B" w:rsidRDefault="0038161B" w:rsidP="0038161B">
      <w:pPr>
        <w:tabs>
          <w:tab w:val="left" w:pos="3119"/>
        </w:tabs>
        <w:autoSpaceDE w:val="0"/>
        <w:autoSpaceDN w:val="0"/>
        <w:adjustRightInd w:val="0"/>
        <w:rPr>
          <w:rFonts w:ascii="Verdana" w:eastAsiaTheme="minorHAnsi" w:hAnsi="Verdana" w:cs="Verdana"/>
          <w:color w:val="333333"/>
          <w:sz w:val="21"/>
          <w:szCs w:val="21"/>
          <w:lang w:val="es-CL" w:eastAsia="en-US"/>
        </w:rPr>
      </w:pPr>
    </w:p>
    <w:p w:rsidR="00AF43EA" w:rsidRDefault="00617415" w:rsidP="00BA10AE">
      <w:pPr>
        <w:pStyle w:val="Textoindependiente2"/>
        <w:rPr>
          <w:b w:val="0"/>
        </w:rPr>
      </w:pPr>
      <w:r>
        <w:rPr>
          <w:b w:val="0"/>
        </w:rPr>
        <w:tab/>
      </w:r>
    </w:p>
    <w:p w:rsidR="00D1436F" w:rsidRPr="008242A5" w:rsidRDefault="00D1436F" w:rsidP="00D1436F">
      <w:pPr>
        <w:pStyle w:val="Textoindependiente2"/>
        <w:rPr>
          <w:b w:val="0"/>
        </w:rPr>
      </w:pPr>
      <w:r>
        <w:rPr>
          <w:b w:val="0"/>
        </w:rPr>
        <w:tab/>
      </w:r>
      <w:r w:rsidRPr="008242A5">
        <w:rPr>
          <w:b w:val="0"/>
        </w:rPr>
        <w:t>Saluda a Ud.,</w:t>
      </w:r>
    </w:p>
    <w:p w:rsidR="00D1436F" w:rsidRDefault="00D1436F" w:rsidP="00D1436F">
      <w:pPr>
        <w:pStyle w:val="Ttulo4"/>
        <w:tabs>
          <w:tab w:val="left" w:pos="3119"/>
        </w:tabs>
        <w:ind w:firstLine="0"/>
      </w:pPr>
    </w:p>
    <w:p w:rsidR="00D1436F" w:rsidRDefault="00D1436F" w:rsidP="00D1436F">
      <w:pPr>
        <w:pStyle w:val="Ttulo4"/>
        <w:tabs>
          <w:tab w:val="left" w:pos="3119"/>
        </w:tabs>
        <w:ind w:firstLine="0"/>
      </w:pPr>
      <w:r>
        <w:tab/>
      </w:r>
    </w:p>
    <w:p w:rsidR="00D1436F" w:rsidRDefault="00D1436F" w:rsidP="00D1436F">
      <w:pPr>
        <w:pStyle w:val="Ttulo4"/>
        <w:tabs>
          <w:tab w:val="left" w:pos="3119"/>
        </w:tabs>
        <w:ind w:firstLine="0"/>
      </w:pPr>
    </w:p>
    <w:p w:rsidR="001D56D0" w:rsidRDefault="00D1436F" w:rsidP="00D1436F">
      <w:pPr>
        <w:pStyle w:val="Ttulo4"/>
        <w:tabs>
          <w:tab w:val="left" w:pos="3119"/>
        </w:tabs>
        <w:ind w:firstLine="0"/>
      </w:pPr>
      <w:r>
        <w:tab/>
      </w:r>
    </w:p>
    <w:p w:rsidR="007D44CA" w:rsidRDefault="001D56D0" w:rsidP="00D1436F">
      <w:pPr>
        <w:pStyle w:val="Ttulo4"/>
        <w:tabs>
          <w:tab w:val="left" w:pos="3119"/>
        </w:tabs>
        <w:ind w:firstLine="0"/>
      </w:pPr>
      <w:r>
        <w:tab/>
      </w:r>
    </w:p>
    <w:p w:rsidR="007D44CA" w:rsidRDefault="007D44CA" w:rsidP="00D1436F">
      <w:pPr>
        <w:pStyle w:val="Ttulo4"/>
        <w:tabs>
          <w:tab w:val="left" w:pos="3119"/>
        </w:tabs>
        <w:ind w:firstLine="0"/>
      </w:pPr>
    </w:p>
    <w:p w:rsidR="007D44CA" w:rsidRDefault="007D44CA" w:rsidP="00D1436F">
      <w:pPr>
        <w:pStyle w:val="Ttulo4"/>
        <w:tabs>
          <w:tab w:val="left" w:pos="3119"/>
        </w:tabs>
        <w:ind w:firstLine="0"/>
      </w:pPr>
    </w:p>
    <w:p w:rsidR="007D44CA" w:rsidRDefault="007D44CA" w:rsidP="00D1436F">
      <w:pPr>
        <w:pStyle w:val="Ttulo4"/>
        <w:tabs>
          <w:tab w:val="left" w:pos="3119"/>
        </w:tabs>
        <w:ind w:firstLine="0"/>
      </w:pPr>
    </w:p>
    <w:p w:rsidR="007D44CA" w:rsidRDefault="007D44CA" w:rsidP="00D1436F">
      <w:pPr>
        <w:pStyle w:val="Ttulo4"/>
        <w:tabs>
          <w:tab w:val="left" w:pos="3119"/>
        </w:tabs>
        <w:ind w:firstLine="0"/>
      </w:pPr>
    </w:p>
    <w:p w:rsidR="007D44CA" w:rsidRDefault="007D44CA" w:rsidP="00D1436F">
      <w:pPr>
        <w:pStyle w:val="Ttulo4"/>
        <w:tabs>
          <w:tab w:val="left" w:pos="3119"/>
        </w:tabs>
        <w:ind w:firstLine="0"/>
      </w:pPr>
    </w:p>
    <w:p w:rsidR="007D44CA" w:rsidRDefault="007D44CA" w:rsidP="00D1436F">
      <w:pPr>
        <w:pStyle w:val="Ttulo4"/>
        <w:tabs>
          <w:tab w:val="left" w:pos="3119"/>
        </w:tabs>
        <w:ind w:firstLine="0"/>
      </w:pPr>
    </w:p>
    <w:p w:rsidR="00D1436F" w:rsidRPr="00102289" w:rsidRDefault="007D44CA" w:rsidP="00D1436F">
      <w:pPr>
        <w:pStyle w:val="Ttulo4"/>
        <w:tabs>
          <w:tab w:val="left" w:pos="3119"/>
        </w:tabs>
        <w:ind w:firstLine="0"/>
      </w:pPr>
      <w:r>
        <w:tab/>
      </w:r>
      <w:r w:rsidR="00D1436F">
        <w:t xml:space="preserve">MARÍA </w:t>
      </w:r>
      <w:r w:rsidR="00294D0C">
        <w:t>CECILIA SÁNCHEZ TORO</w:t>
      </w:r>
    </w:p>
    <w:p w:rsidR="00D1436F" w:rsidRDefault="00D1436F" w:rsidP="00D1436F">
      <w:pPr>
        <w:pStyle w:val="Ttulo4"/>
      </w:pPr>
      <w:r>
        <w:t xml:space="preserve">                  ABOGADA</w:t>
      </w:r>
    </w:p>
    <w:p w:rsidR="00AF43EA" w:rsidRDefault="00294D0C" w:rsidP="00294D0C">
      <w:pPr>
        <w:tabs>
          <w:tab w:val="left" w:pos="-426"/>
        </w:tabs>
        <w:ind w:firstLine="3119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DIRECTORA DEL TRABAJO</w:t>
      </w:r>
    </w:p>
    <w:p w:rsidR="00AF43EA" w:rsidRDefault="00AF43EA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AF43EA" w:rsidRDefault="00AF43EA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AF43EA" w:rsidRDefault="00AF43EA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AF43EA" w:rsidRDefault="00AF43EA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AF43EA" w:rsidRDefault="00AF43EA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AF43EA" w:rsidRDefault="00AF43EA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AF43EA" w:rsidRDefault="00AF43EA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AF43EA" w:rsidRDefault="00AF43EA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294D0C" w:rsidRDefault="00294D0C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294D0C" w:rsidRDefault="00294D0C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294D0C" w:rsidRDefault="00294D0C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900B90" w:rsidRDefault="00900B90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900B90" w:rsidRDefault="00900B90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900B90" w:rsidRDefault="00900B90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900B90" w:rsidRDefault="00900B90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900B90" w:rsidRDefault="00900B90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</w:p>
    <w:p w:rsidR="00D1436F" w:rsidRDefault="00294D0C" w:rsidP="00D1436F">
      <w:pPr>
        <w:tabs>
          <w:tab w:val="left" w:pos="-426"/>
        </w:tabs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MAO/</w:t>
      </w:r>
      <w:r w:rsidR="00D1436F">
        <w:rPr>
          <w:rFonts w:ascii="Arial" w:hAnsi="Arial"/>
          <w:b/>
          <w:sz w:val="24"/>
        </w:rPr>
        <w:t>SMS/RGR/rgr</w:t>
      </w:r>
    </w:p>
    <w:p w:rsidR="00D1436F" w:rsidRDefault="00D1436F" w:rsidP="00D1436F">
      <w:pPr>
        <w:tabs>
          <w:tab w:val="left" w:pos="-426"/>
        </w:tabs>
        <w:jc w:val="both"/>
        <w:rPr>
          <w:rFonts w:ascii="Arial" w:hAnsi="Arial"/>
          <w:b/>
          <w:sz w:val="24"/>
          <w:u w:val="single"/>
        </w:rPr>
      </w:pPr>
      <w:r w:rsidRPr="00AE1D99">
        <w:rPr>
          <w:rFonts w:ascii="Arial" w:hAnsi="Arial"/>
          <w:b/>
          <w:sz w:val="24"/>
          <w:u w:val="single"/>
        </w:rPr>
        <w:t>Distribución</w:t>
      </w:r>
      <w:r>
        <w:rPr>
          <w:rFonts w:ascii="Arial" w:hAnsi="Arial"/>
          <w:b/>
          <w:sz w:val="24"/>
          <w:u w:val="single"/>
        </w:rPr>
        <w:t>:</w:t>
      </w:r>
    </w:p>
    <w:p w:rsidR="006514EB" w:rsidRPr="006E415A" w:rsidRDefault="006514EB" w:rsidP="006514EB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Jurídico, </w:t>
      </w:r>
      <w:r w:rsidRPr="006E415A">
        <w:rPr>
          <w:rFonts w:ascii="Arial" w:hAnsi="Arial"/>
          <w:sz w:val="24"/>
        </w:rPr>
        <w:t>Partes</w:t>
      </w:r>
      <w:r>
        <w:rPr>
          <w:rFonts w:ascii="Arial" w:hAnsi="Arial"/>
          <w:sz w:val="24"/>
        </w:rPr>
        <w:t xml:space="preserve"> y </w:t>
      </w:r>
      <w:r w:rsidRPr="006E415A">
        <w:rPr>
          <w:rFonts w:ascii="Arial" w:hAnsi="Arial"/>
          <w:sz w:val="24"/>
        </w:rPr>
        <w:t>Control</w:t>
      </w:r>
    </w:p>
    <w:p w:rsidR="006514EB" w:rsidRPr="006E415A" w:rsidRDefault="006514EB" w:rsidP="006514EB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Boletín, </w:t>
      </w:r>
      <w:r w:rsidRPr="006E415A">
        <w:rPr>
          <w:rFonts w:ascii="Arial" w:hAnsi="Arial"/>
          <w:sz w:val="24"/>
        </w:rPr>
        <w:t>Deptos. D.T.</w:t>
      </w:r>
      <w:r>
        <w:rPr>
          <w:rFonts w:ascii="Arial" w:hAnsi="Arial"/>
          <w:sz w:val="24"/>
        </w:rPr>
        <w:t xml:space="preserve"> y </w:t>
      </w:r>
      <w:r w:rsidRPr="006E415A">
        <w:rPr>
          <w:rFonts w:ascii="Arial" w:hAnsi="Arial"/>
          <w:sz w:val="24"/>
        </w:rPr>
        <w:t>Subdirector</w:t>
      </w:r>
    </w:p>
    <w:p w:rsidR="006514EB" w:rsidRPr="006E415A" w:rsidRDefault="006514EB" w:rsidP="006514EB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U. Asistencia Técnica y </w:t>
      </w:r>
      <w:r w:rsidRPr="006E415A">
        <w:rPr>
          <w:rFonts w:ascii="Arial" w:hAnsi="Arial"/>
          <w:sz w:val="24"/>
        </w:rPr>
        <w:t>X</w:t>
      </w:r>
      <w:r>
        <w:rPr>
          <w:rFonts w:ascii="Arial" w:hAnsi="Arial"/>
          <w:sz w:val="24"/>
        </w:rPr>
        <w:t>V</w:t>
      </w:r>
      <w:r w:rsidRPr="006E415A">
        <w:rPr>
          <w:rFonts w:ascii="Arial" w:hAnsi="Arial"/>
          <w:sz w:val="24"/>
        </w:rPr>
        <w:t xml:space="preserve"> Regiones</w:t>
      </w:r>
    </w:p>
    <w:p w:rsidR="006514EB" w:rsidRDefault="006514EB" w:rsidP="006514EB">
      <w:pPr>
        <w:tabs>
          <w:tab w:val="left" w:pos="284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-   Gabinete Ministra del Trabajo y Previsión Social</w:t>
      </w:r>
    </w:p>
    <w:p w:rsidR="006514EB" w:rsidRDefault="006514EB" w:rsidP="006514EB">
      <w:pPr>
        <w:numPr>
          <w:ilvl w:val="0"/>
          <w:numId w:val="2"/>
        </w:numPr>
        <w:tabs>
          <w:tab w:val="left" w:pos="284"/>
        </w:tabs>
        <w:ind w:left="0" w:firstLine="0"/>
        <w:rPr>
          <w:rFonts w:ascii="Arial" w:hAnsi="Arial"/>
          <w:sz w:val="24"/>
        </w:rPr>
      </w:pPr>
      <w:r>
        <w:rPr>
          <w:rFonts w:ascii="Arial" w:hAnsi="Arial"/>
          <w:sz w:val="24"/>
        </w:rPr>
        <w:t>Sr Subsecretario del Trabajo</w:t>
      </w:r>
    </w:p>
    <w:p w:rsidR="006514EB" w:rsidRDefault="006514EB" w:rsidP="006514EB">
      <w:pPr>
        <w:tabs>
          <w:tab w:val="left" w:pos="284"/>
        </w:tabs>
        <w:rPr>
          <w:rFonts w:ascii="Arial" w:hAnsi="Arial"/>
          <w:sz w:val="24"/>
        </w:rPr>
      </w:pPr>
    </w:p>
    <w:p w:rsidR="00D1436F" w:rsidRDefault="00D1436F" w:rsidP="00294D0C">
      <w:pPr>
        <w:tabs>
          <w:tab w:val="left" w:pos="-426"/>
        </w:tabs>
        <w:jc w:val="both"/>
        <w:rPr>
          <w:rFonts w:ascii="Arial" w:hAnsi="Arial"/>
          <w:sz w:val="24"/>
        </w:rPr>
      </w:pPr>
    </w:p>
    <w:p w:rsidR="003E577A" w:rsidRDefault="003E577A"/>
    <w:sectPr w:rsidR="003E577A" w:rsidSect="004716E9">
      <w:headerReference w:type="even" r:id="rId8"/>
      <w:headerReference w:type="default" r:id="rId9"/>
      <w:pgSz w:w="12242" w:h="18722" w:code="14"/>
      <w:pgMar w:top="1701" w:right="1701" w:bottom="1418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092B" w:rsidRDefault="0007092B" w:rsidP="004716E9">
      <w:r>
        <w:separator/>
      </w:r>
    </w:p>
  </w:endnote>
  <w:endnote w:type="continuationSeparator" w:id="0">
    <w:p w:rsidR="0007092B" w:rsidRDefault="0007092B" w:rsidP="004716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092B" w:rsidRDefault="0007092B" w:rsidP="004716E9">
      <w:r>
        <w:separator/>
      </w:r>
    </w:p>
  </w:footnote>
  <w:footnote w:type="continuationSeparator" w:id="0">
    <w:p w:rsidR="0007092B" w:rsidRDefault="0007092B" w:rsidP="004716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E87" w:rsidRDefault="00860705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9C159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C1591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F72E87" w:rsidRDefault="0007092B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E87" w:rsidRDefault="00860705">
    <w:pPr>
      <w:pStyle w:val="Encabezado"/>
      <w:framePr w:wrap="around" w:vAnchor="text" w:hAnchor="page" w:x="6049" w:y="584"/>
      <w:rPr>
        <w:rStyle w:val="Nmerodepgina"/>
      </w:rPr>
    </w:pPr>
    <w:r>
      <w:rPr>
        <w:rStyle w:val="Nmerodepgina"/>
      </w:rPr>
      <w:fldChar w:fldCharType="begin"/>
    </w:r>
    <w:r w:rsidR="009C1591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E1526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F72E87" w:rsidRDefault="0007092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4A5C05"/>
    <w:multiLevelType w:val="singleLevel"/>
    <w:tmpl w:val="09BCAE66"/>
    <w:lvl w:ilvl="0">
      <w:numFmt w:val="bullet"/>
      <w:lvlText w:val="-"/>
      <w:lvlJc w:val="left"/>
      <w:pPr>
        <w:tabs>
          <w:tab w:val="num" w:pos="77"/>
        </w:tabs>
        <w:ind w:left="77" w:hanging="360"/>
      </w:pPr>
      <w:rPr>
        <w:rFonts w:ascii="Times New Roman" w:hAnsi="Times New Roman" w:hint="default"/>
      </w:rPr>
    </w:lvl>
  </w:abstractNum>
  <w:abstractNum w:abstractNumId="1">
    <w:nsid w:val="4D591FBF"/>
    <w:multiLevelType w:val="hybridMultilevel"/>
    <w:tmpl w:val="079C54CA"/>
    <w:lvl w:ilvl="0" w:tplc="75FE051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436F"/>
    <w:rsid w:val="00004D72"/>
    <w:rsid w:val="00021FFA"/>
    <w:rsid w:val="00053BDB"/>
    <w:rsid w:val="0007092B"/>
    <w:rsid w:val="00092949"/>
    <w:rsid w:val="00096A74"/>
    <w:rsid w:val="000A7055"/>
    <w:rsid w:val="000D07D8"/>
    <w:rsid w:val="001609A9"/>
    <w:rsid w:val="00184ADF"/>
    <w:rsid w:val="00191EAE"/>
    <w:rsid w:val="001D56D0"/>
    <w:rsid w:val="00294D0C"/>
    <w:rsid w:val="002C3295"/>
    <w:rsid w:val="002E1526"/>
    <w:rsid w:val="00360DC6"/>
    <w:rsid w:val="00370A44"/>
    <w:rsid w:val="0038161B"/>
    <w:rsid w:val="00385FBA"/>
    <w:rsid w:val="003B56DA"/>
    <w:rsid w:val="003E577A"/>
    <w:rsid w:val="003E6CAF"/>
    <w:rsid w:val="004412CD"/>
    <w:rsid w:val="004633F1"/>
    <w:rsid w:val="00467BA8"/>
    <w:rsid w:val="004716E9"/>
    <w:rsid w:val="004A3F4F"/>
    <w:rsid w:val="00512729"/>
    <w:rsid w:val="00567764"/>
    <w:rsid w:val="005D49B5"/>
    <w:rsid w:val="00617415"/>
    <w:rsid w:val="006514EB"/>
    <w:rsid w:val="006530A1"/>
    <w:rsid w:val="006700A3"/>
    <w:rsid w:val="006A7F69"/>
    <w:rsid w:val="00701FC7"/>
    <w:rsid w:val="007A6757"/>
    <w:rsid w:val="007D44CA"/>
    <w:rsid w:val="00827966"/>
    <w:rsid w:val="00860705"/>
    <w:rsid w:val="008D0D29"/>
    <w:rsid w:val="008D626B"/>
    <w:rsid w:val="00900B90"/>
    <w:rsid w:val="00901EA9"/>
    <w:rsid w:val="0094616B"/>
    <w:rsid w:val="00946B52"/>
    <w:rsid w:val="009610A5"/>
    <w:rsid w:val="009831CA"/>
    <w:rsid w:val="009A6D88"/>
    <w:rsid w:val="009C1591"/>
    <w:rsid w:val="009C7981"/>
    <w:rsid w:val="00A140B8"/>
    <w:rsid w:val="00A252A8"/>
    <w:rsid w:val="00A55CF2"/>
    <w:rsid w:val="00A81F11"/>
    <w:rsid w:val="00A855B1"/>
    <w:rsid w:val="00A8567E"/>
    <w:rsid w:val="00A87592"/>
    <w:rsid w:val="00A87EEC"/>
    <w:rsid w:val="00AA4D91"/>
    <w:rsid w:val="00AB15DB"/>
    <w:rsid w:val="00AE2C42"/>
    <w:rsid w:val="00AF43EA"/>
    <w:rsid w:val="00B16FEA"/>
    <w:rsid w:val="00BA10AE"/>
    <w:rsid w:val="00BB0002"/>
    <w:rsid w:val="00BD3B10"/>
    <w:rsid w:val="00BE265E"/>
    <w:rsid w:val="00BF6374"/>
    <w:rsid w:val="00C04E7F"/>
    <w:rsid w:val="00C30645"/>
    <w:rsid w:val="00C62088"/>
    <w:rsid w:val="00C91A67"/>
    <w:rsid w:val="00C94A26"/>
    <w:rsid w:val="00CD3FAF"/>
    <w:rsid w:val="00CE0F8D"/>
    <w:rsid w:val="00D1436F"/>
    <w:rsid w:val="00D17316"/>
    <w:rsid w:val="00D61563"/>
    <w:rsid w:val="00D7675C"/>
    <w:rsid w:val="00DA0D8D"/>
    <w:rsid w:val="00E4441F"/>
    <w:rsid w:val="00E52ED9"/>
    <w:rsid w:val="00E54A4F"/>
    <w:rsid w:val="00E9217B"/>
    <w:rsid w:val="00EC5C2B"/>
    <w:rsid w:val="00EE06E8"/>
    <w:rsid w:val="00F01908"/>
    <w:rsid w:val="00F20F2D"/>
    <w:rsid w:val="00F36214"/>
    <w:rsid w:val="00F7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D1436F"/>
    <w:pPr>
      <w:keepNext/>
      <w:outlineLvl w:val="0"/>
    </w:pPr>
    <w:rPr>
      <w:rFonts w:ascii="Arial" w:hAnsi="Arial"/>
      <w:sz w:val="24"/>
    </w:rPr>
  </w:style>
  <w:style w:type="paragraph" w:styleId="Ttulo3">
    <w:name w:val="heading 3"/>
    <w:basedOn w:val="Normal"/>
    <w:next w:val="Normal"/>
    <w:link w:val="Ttulo3Car"/>
    <w:qFormat/>
    <w:rsid w:val="00D1436F"/>
    <w:pPr>
      <w:keepNext/>
      <w:tabs>
        <w:tab w:val="left" w:pos="-426"/>
      </w:tabs>
      <w:ind w:left="3119" w:hanging="3119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link w:val="Ttulo4Car"/>
    <w:qFormat/>
    <w:rsid w:val="00D1436F"/>
    <w:pPr>
      <w:keepNext/>
      <w:tabs>
        <w:tab w:val="left" w:pos="-426"/>
      </w:tabs>
      <w:ind w:firstLine="3119"/>
      <w:jc w:val="both"/>
      <w:outlineLvl w:val="3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1436F"/>
    <w:rPr>
      <w:rFonts w:ascii="Arial" w:eastAsia="Times New Roman" w:hAnsi="Arial" w:cs="Times New Roman"/>
      <w:sz w:val="24"/>
      <w:szCs w:val="20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1436F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1436F"/>
    <w:rPr>
      <w:rFonts w:ascii="Arial" w:eastAsia="Times New Roman" w:hAnsi="Arial" w:cs="Times New Roman"/>
      <w:b/>
      <w:sz w:val="24"/>
      <w:szCs w:val="20"/>
      <w:lang w:val="es-ES" w:eastAsia="es-ES"/>
    </w:rPr>
  </w:style>
  <w:style w:type="paragraph" w:styleId="Encabezado">
    <w:name w:val="header"/>
    <w:basedOn w:val="Normal"/>
    <w:link w:val="EncabezadoCar"/>
    <w:semiHidden/>
    <w:rsid w:val="00D1436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D1436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Nmerodepgina">
    <w:name w:val="page number"/>
    <w:basedOn w:val="Fuentedeprrafopredeter"/>
    <w:semiHidden/>
    <w:rsid w:val="00D1436F"/>
  </w:style>
  <w:style w:type="paragraph" w:styleId="Textoindependiente2">
    <w:name w:val="Body Text 2"/>
    <w:basedOn w:val="Normal"/>
    <w:link w:val="Textoindependiente2Car"/>
    <w:semiHidden/>
    <w:rsid w:val="00D1436F"/>
    <w:pPr>
      <w:tabs>
        <w:tab w:val="left" w:pos="-426"/>
        <w:tab w:val="left" w:pos="3119"/>
      </w:tabs>
      <w:jc w:val="both"/>
    </w:pPr>
    <w:rPr>
      <w:rFonts w:ascii="Arial" w:hAnsi="Arial"/>
      <w:b/>
      <w:sz w:val="24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D1436F"/>
    <w:rPr>
      <w:rFonts w:ascii="Arial" w:eastAsia="Times New Roman" w:hAnsi="Arial" w:cs="Times New Roman"/>
      <w:b/>
      <w:sz w:val="24"/>
      <w:szCs w:val="20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1392</Words>
  <Characters>7657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Direccion del Trabajo</Company>
  <LinksUpToDate>false</LinksUpToDate>
  <CharactersWithSpaces>9031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rosamel</dc:creator>
  <cp:keywords/>
  <dc:description/>
  <cp:lastModifiedBy>murzuam</cp:lastModifiedBy>
  <cp:revision>5</cp:revision>
  <cp:lastPrinted>2011-12-02T17:53:00Z</cp:lastPrinted>
  <dcterms:created xsi:type="dcterms:W3CDTF">2012-01-16T16:12:00Z</dcterms:created>
  <dcterms:modified xsi:type="dcterms:W3CDTF">2012-01-16T16:27:00Z</dcterms:modified>
</cp:coreProperties>
</file>